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heme="minorHAnsi" w:eastAsiaTheme="minorEastAsia" w:hAnsiTheme="minorHAnsi" w:cstheme="minorBidi"/>
          <w:color w:val="auto"/>
          <w:kern w:val="2"/>
          <w:sz w:val="21"/>
          <w:szCs w:val="22"/>
          <w:lang w:val="zh-CN"/>
        </w:rPr>
        <w:id w:val="-61331335"/>
      </w:sdtPr>
      <w:sdtEndPr>
        <w:rPr>
          <w:b/>
          <w:bCs/>
        </w:rPr>
      </w:sdtEndPr>
      <w:sdtContent>
        <w:p w:rsidR="00E44CC5" w:rsidRDefault="00677BE7">
          <w:pPr>
            <w:pStyle w:val="TOC1"/>
            <w:tabs>
              <w:tab w:val="left" w:pos="255"/>
              <w:tab w:val="left" w:pos="945"/>
              <w:tab w:val="center" w:pos="5528"/>
            </w:tabs>
            <w:spacing w:before="0"/>
            <w:rPr>
              <w:b/>
              <w:sz w:val="40"/>
              <w:szCs w:val="40"/>
            </w:rPr>
          </w:pPr>
          <w:r>
            <w:rPr>
              <w:rFonts w:asciiTheme="minorHAnsi" w:eastAsiaTheme="minorEastAsia" w:hAnsiTheme="minorHAnsi" w:cstheme="minorBidi"/>
              <w:color w:val="auto"/>
              <w:kern w:val="2"/>
              <w:sz w:val="21"/>
              <w:szCs w:val="22"/>
              <w:lang w:val="zh-CN"/>
            </w:rPr>
            <w:tab/>
          </w:r>
          <w:r>
            <w:rPr>
              <w:rFonts w:asciiTheme="minorHAnsi" w:eastAsiaTheme="minorEastAsia" w:hAnsiTheme="minorHAnsi" w:cstheme="minorBidi"/>
              <w:color w:val="auto"/>
              <w:kern w:val="2"/>
              <w:sz w:val="21"/>
              <w:szCs w:val="22"/>
              <w:lang w:val="zh-CN"/>
            </w:rPr>
            <w:tab/>
          </w:r>
          <w:r>
            <w:rPr>
              <w:rFonts w:asciiTheme="minorHAnsi" w:eastAsiaTheme="minorEastAsia" w:hAnsiTheme="minorHAnsi" w:cstheme="minorBidi"/>
              <w:color w:val="auto"/>
              <w:kern w:val="2"/>
              <w:sz w:val="21"/>
              <w:szCs w:val="22"/>
              <w:lang w:val="zh-CN"/>
            </w:rPr>
            <w:tab/>
          </w:r>
          <w:r>
            <w:rPr>
              <w:b/>
              <w:sz w:val="40"/>
              <w:szCs w:val="40"/>
              <w:lang w:val="zh-CN"/>
            </w:rPr>
            <w:t>目录</w:t>
          </w:r>
        </w:p>
        <w:p w:rsidR="00433BD4" w:rsidRDefault="00677BE7">
          <w:pPr>
            <w:pStyle w:val="10"/>
            <w:rPr>
              <w:noProof/>
            </w:rPr>
          </w:pPr>
          <w:r>
            <w:fldChar w:fldCharType="begin"/>
          </w:r>
          <w:r>
            <w:instrText xml:space="preserve"> TOC \o "1-3" \h \z \u </w:instrText>
          </w:r>
          <w:r>
            <w:fldChar w:fldCharType="separate"/>
          </w:r>
          <w:hyperlink w:anchor="_Toc515834305" w:history="1">
            <w:r w:rsidR="00433BD4" w:rsidRPr="00FA5522">
              <w:rPr>
                <w:rStyle w:val="aa"/>
                <w:rFonts w:hint="eastAsia"/>
                <w:noProof/>
              </w:rPr>
              <w:t>本期导读</w:t>
            </w:r>
            <w:r w:rsidR="00433BD4">
              <w:rPr>
                <w:noProof/>
                <w:webHidden/>
              </w:rPr>
              <w:tab/>
            </w:r>
            <w:r w:rsidR="00433BD4">
              <w:rPr>
                <w:noProof/>
                <w:webHidden/>
              </w:rPr>
              <w:fldChar w:fldCharType="begin"/>
            </w:r>
            <w:r w:rsidR="00433BD4">
              <w:rPr>
                <w:noProof/>
                <w:webHidden/>
              </w:rPr>
              <w:instrText xml:space="preserve"> PAGEREF _Toc515834305 \h </w:instrText>
            </w:r>
            <w:r w:rsidR="00433BD4">
              <w:rPr>
                <w:noProof/>
                <w:webHidden/>
              </w:rPr>
            </w:r>
            <w:r w:rsidR="00433BD4">
              <w:rPr>
                <w:noProof/>
                <w:webHidden/>
              </w:rPr>
              <w:fldChar w:fldCharType="separate"/>
            </w:r>
            <w:r w:rsidR="00DD3C5F">
              <w:rPr>
                <w:noProof/>
                <w:webHidden/>
              </w:rPr>
              <w:t>2</w:t>
            </w:r>
            <w:r w:rsidR="00433BD4">
              <w:rPr>
                <w:noProof/>
                <w:webHidden/>
              </w:rPr>
              <w:fldChar w:fldCharType="end"/>
            </w:r>
          </w:hyperlink>
        </w:p>
        <w:p w:rsidR="00433BD4" w:rsidRDefault="00AA0554">
          <w:pPr>
            <w:pStyle w:val="10"/>
            <w:rPr>
              <w:noProof/>
            </w:rPr>
          </w:pPr>
          <w:hyperlink w:anchor="_Toc515834306" w:history="1">
            <w:r w:rsidR="00433BD4" w:rsidRPr="00FA5522">
              <w:rPr>
                <w:rStyle w:val="aa"/>
                <w:rFonts w:hint="eastAsia"/>
                <w:noProof/>
              </w:rPr>
              <w:t>宏观新闻</w:t>
            </w:r>
            <w:r w:rsidR="00433BD4">
              <w:rPr>
                <w:noProof/>
                <w:webHidden/>
              </w:rPr>
              <w:tab/>
            </w:r>
            <w:r w:rsidR="00433BD4">
              <w:rPr>
                <w:noProof/>
                <w:webHidden/>
              </w:rPr>
              <w:fldChar w:fldCharType="begin"/>
            </w:r>
            <w:r w:rsidR="00433BD4">
              <w:rPr>
                <w:noProof/>
                <w:webHidden/>
              </w:rPr>
              <w:instrText xml:space="preserve"> PAGEREF _Toc515834306 \h </w:instrText>
            </w:r>
            <w:r w:rsidR="00433BD4">
              <w:rPr>
                <w:noProof/>
                <w:webHidden/>
              </w:rPr>
            </w:r>
            <w:r w:rsidR="00433BD4">
              <w:rPr>
                <w:noProof/>
                <w:webHidden/>
              </w:rPr>
              <w:fldChar w:fldCharType="separate"/>
            </w:r>
            <w:r w:rsidR="00DD3C5F">
              <w:rPr>
                <w:noProof/>
                <w:webHidden/>
              </w:rPr>
              <w:t>3</w:t>
            </w:r>
            <w:r w:rsidR="00433BD4">
              <w:rPr>
                <w:noProof/>
                <w:webHidden/>
              </w:rPr>
              <w:fldChar w:fldCharType="end"/>
            </w:r>
          </w:hyperlink>
        </w:p>
        <w:p w:rsidR="00433BD4" w:rsidRDefault="00AA0554">
          <w:pPr>
            <w:pStyle w:val="20"/>
            <w:tabs>
              <w:tab w:val="right" w:leader="dot" w:pos="11046"/>
            </w:tabs>
            <w:rPr>
              <w:noProof/>
            </w:rPr>
          </w:pPr>
          <w:hyperlink w:anchor="_Toc515834307" w:history="1">
            <w:r w:rsidR="00433BD4" w:rsidRPr="00FA5522">
              <w:rPr>
                <w:rStyle w:val="aa"/>
                <w:rFonts w:hint="eastAsia"/>
                <w:noProof/>
              </w:rPr>
              <w:t>美联储加息预期强烈</w:t>
            </w:r>
            <w:r w:rsidR="00433BD4" w:rsidRPr="00FA5522">
              <w:rPr>
                <w:rStyle w:val="aa"/>
                <w:noProof/>
              </w:rPr>
              <w:t xml:space="preserve"> </w:t>
            </w:r>
            <w:r w:rsidR="00433BD4" w:rsidRPr="00FA5522">
              <w:rPr>
                <w:rStyle w:val="aa"/>
                <w:rFonts w:hint="eastAsia"/>
                <w:noProof/>
              </w:rPr>
              <w:t>新兴经济体将迎加息潮</w:t>
            </w:r>
            <w:r w:rsidR="00433BD4">
              <w:rPr>
                <w:noProof/>
                <w:webHidden/>
              </w:rPr>
              <w:tab/>
            </w:r>
            <w:r w:rsidR="00433BD4">
              <w:rPr>
                <w:noProof/>
                <w:webHidden/>
              </w:rPr>
              <w:fldChar w:fldCharType="begin"/>
            </w:r>
            <w:r w:rsidR="00433BD4">
              <w:rPr>
                <w:noProof/>
                <w:webHidden/>
              </w:rPr>
              <w:instrText xml:space="preserve"> PAGEREF _Toc515834307 \h </w:instrText>
            </w:r>
            <w:r w:rsidR="00433BD4">
              <w:rPr>
                <w:noProof/>
                <w:webHidden/>
              </w:rPr>
            </w:r>
            <w:r w:rsidR="00433BD4">
              <w:rPr>
                <w:noProof/>
                <w:webHidden/>
              </w:rPr>
              <w:fldChar w:fldCharType="separate"/>
            </w:r>
            <w:r w:rsidR="00DD3C5F">
              <w:rPr>
                <w:noProof/>
                <w:webHidden/>
              </w:rPr>
              <w:t>3</w:t>
            </w:r>
            <w:r w:rsidR="00433BD4">
              <w:rPr>
                <w:noProof/>
                <w:webHidden/>
              </w:rPr>
              <w:fldChar w:fldCharType="end"/>
            </w:r>
          </w:hyperlink>
        </w:p>
        <w:p w:rsidR="00433BD4" w:rsidRDefault="00AA0554">
          <w:pPr>
            <w:pStyle w:val="20"/>
            <w:tabs>
              <w:tab w:val="right" w:leader="dot" w:pos="11046"/>
            </w:tabs>
            <w:rPr>
              <w:noProof/>
            </w:rPr>
          </w:pPr>
          <w:hyperlink w:anchor="_Toc515834308" w:history="1">
            <w:r w:rsidR="00433BD4" w:rsidRPr="00FA5522">
              <w:rPr>
                <w:rStyle w:val="aa"/>
                <w:rFonts w:hint="eastAsia"/>
                <w:noProof/>
              </w:rPr>
              <w:t>意大利股债双杀</w:t>
            </w:r>
            <w:r w:rsidR="00433BD4" w:rsidRPr="00FA5522">
              <w:rPr>
                <w:rStyle w:val="aa"/>
                <w:noProof/>
              </w:rPr>
              <w:t xml:space="preserve"> </w:t>
            </w:r>
            <w:r w:rsidR="00433BD4" w:rsidRPr="00FA5522">
              <w:rPr>
                <w:rStyle w:val="aa"/>
                <w:rFonts w:hint="eastAsia"/>
                <w:noProof/>
              </w:rPr>
              <w:t>空头瞄准欧洲市场</w:t>
            </w:r>
            <w:r w:rsidR="00433BD4">
              <w:rPr>
                <w:noProof/>
                <w:webHidden/>
              </w:rPr>
              <w:tab/>
            </w:r>
            <w:r w:rsidR="00433BD4">
              <w:rPr>
                <w:noProof/>
                <w:webHidden/>
              </w:rPr>
              <w:fldChar w:fldCharType="begin"/>
            </w:r>
            <w:r w:rsidR="00433BD4">
              <w:rPr>
                <w:noProof/>
                <w:webHidden/>
              </w:rPr>
              <w:instrText xml:space="preserve"> PAGEREF _Toc515834308 \h </w:instrText>
            </w:r>
            <w:r w:rsidR="00433BD4">
              <w:rPr>
                <w:noProof/>
                <w:webHidden/>
              </w:rPr>
            </w:r>
            <w:r w:rsidR="00433BD4">
              <w:rPr>
                <w:noProof/>
                <w:webHidden/>
              </w:rPr>
              <w:fldChar w:fldCharType="separate"/>
            </w:r>
            <w:r w:rsidR="00DD3C5F">
              <w:rPr>
                <w:noProof/>
                <w:webHidden/>
              </w:rPr>
              <w:t>4</w:t>
            </w:r>
            <w:r w:rsidR="00433BD4">
              <w:rPr>
                <w:noProof/>
                <w:webHidden/>
              </w:rPr>
              <w:fldChar w:fldCharType="end"/>
            </w:r>
          </w:hyperlink>
        </w:p>
        <w:p w:rsidR="00433BD4" w:rsidRDefault="00AA0554">
          <w:pPr>
            <w:pStyle w:val="10"/>
            <w:rPr>
              <w:noProof/>
            </w:rPr>
          </w:pPr>
          <w:hyperlink w:anchor="_Toc515834309" w:history="1">
            <w:r w:rsidR="00433BD4" w:rsidRPr="00FA5522">
              <w:rPr>
                <w:rStyle w:val="aa"/>
                <w:rFonts w:hint="eastAsia"/>
                <w:noProof/>
              </w:rPr>
              <w:t>监管动态</w:t>
            </w:r>
            <w:r w:rsidR="00433BD4">
              <w:rPr>
                <w:noProof/>
                <w:webHidden/>
              </w:rPr>
              <w:tab/>
            </w:r>
            <w:r w:rsidR="00433BD4">
              <w:rPr>
                <w:noProof/>
                <w:webHidden/>
              </w:rPr>
              <w:fldChar w:fldCharType="begin"/>
            </w:r>
            <w:r w:rsidR="00433BD4">
              <w:rPr>
                <w:noProof/>
                <w:webHidden/>
              </w:rPr>
              <w:instrText xml:space="preserve"> PAGEREF _Toc515834309 \h </w:instrText>
            </w:r>
            <w:r w:rsidR="00433BD4">
              <w:rPr>
                <w:noProof/>
                <w:webHidden/>
              </w:rPr>
            </w:r>
            <w:r w:rsidR="00433BD4">
              <w:rPr>
                <w:noProof/>
                <w:webHidden/>
              </w:rPr>
              <w:fldChar w:fldCharType="separate"/>
            </w:r>
            <w:r w:rsidR="00DD3C5F">
              <w:rPr>
                <w:noProof/>
                <w:webHidden/>
              </w:rPr>
              <w:t>6</w:t>
            </w:r>
            <w:r w:rsidR="00433BD4">
              <w:rPr>
                <w:noProof/>
                <w:webHidden/>
              </w:rPr>
              <w:fldChar w:fldCharType="end"/>
            </w:r>
          </w:hyperlink>
        </w:p>
        <w:p w:rsidR="00433BD4" w:rsidRDefault="00AA0554">
          <w:pPr>
            <w:pStyle w:val="20"/>
            <w:tabs>
              <w:tab w:val="right" w:leader="dot" w:pos="11046"/>
            </w:tabs>
            <w:rPr>
              <w:noProof/>
            </w:rPr>
          </w:pPr>
          <w:hyperlink w:anchor="_Toc515834310" w:history="1">
            <w:r w:rsidR="00433BD4" w:rsidRPr="00FA5522">
              <w:rPr>
                <w:rStyle w:val="aa"/>
                <w:noProof/>
              </w:rPr>
              <w:t>MLF</w:t>
            </w:r>
            <w:r w:rsidR="00433BD4" w:rsidRPr="00FA5522">
              <w:rPr>
                <w:rStyle w:val="aa"/>
                <w:rFonts w:hint="eastAsia"/>
                <w:noProof/>
              </w:rPr>
              <w:t>担保品“扩围”</w:t>
            </w:r>
            <w:r w:rsidR="00433BD4" w:rsidRPr="00FA5522">
              <w:rPr>
                <w:rStyle w:val="aa"/>
                <w:noProof/>
              </w:rPr>
              <w:t xml:space="preserve"> </w:t>
            </w:r>
            <w:r w:rsidR="00433BD4" w:rsidRPr="00FA5522">
              <w:rPr>
                <w:rStyle w:val="aa"/>
                <w:rFonts w:hint="eastAsia"/>
                <w:noProof/>
              </w:rPr>
              <w:t>纳入</w:t>
            </w:r>
            <w:r w:rsidR="00433BD4" w:rsidRPr="00FA5522">
              <w:rPr>
                <w:rStyle w:val="aa"/>
                <w:noProof/>
              </w:rPr>
              <w:t>AA</w:t>
            </w:r>
            <w:r w:rsidR="00433BD4" w:rsidRPr="00FA5522">
              <w:rPr>
                <w:rStyle w:val="aa"/>
                <w:rFonts w:hint="eastAsia"/>
                <w:noProof/>
              </w:rPr>
              <w:t>级公司信用类债券</w:t>
            </w:r>
            <w:r w:rsidR="00433BD4">
              <w:rPr>
                <w:noProof/>
                <w:webHidden/>
              </w:rPr>
              <w:tab/>
            </w:r>
            <w:r w:rsidR="00433BD4">
              <w:rPr>
                <w:noProof/>
                <w:webHidden/>
              </w:rPr>
              <w:fldChar w:fldCharType="begin"/>
            </w:r>
            <w:r w:rsidR="00433BD4">
              <w:rPr>
                <w:noProof/>
                <w:webHidden/>
              </w:rPr>
              <w:instrText xml:space="preserve"> PAGEREF _Toc515834310 \h </w:instrText>
            </w:r>
            <w:r w:rsidR="00433BD4">
              <w:rPr>
                <w:noProof/>
                <w:webHidden/>
              </w:rPr>
            </w:r>
            <w:r w:rsidR="00433BD4">
              <w:rPr>
                <w:noProof/>
                <w:webHidden/>
              </w:rPr>
              <w:fldChar w:fldCharType="separate"/>
            </w:r>
            <w:r w:rsidR="00DD3C5F">
              <w:rPr>
                <w:noProof/>
                <w:webHidden/>
              </w:rPr>
              <w:t>6</w:t>
            </w:r>
            <w:r w:rsidR="00433BD4">
              <w:rPr>
                <w:noProof/>
                <w:webHidden/>
              </w:rPr>
              <w:fldChar w:fldCharType="end"/>
            </w:r>
          </w:hyperlink>
        </w:p>
        <w:p w:rsidR="00433BD4" w:rsidRDefault="00AA0554">
          <w:pPr>
            <w:pStyle w:val="20"/>
            <w:tabs>
              <w:tab w:val="right" w:leader="dot" w:pos="11046"/>
            </w:tabs>
            <w:rPr>
              <w:noProof/>
            </w:rPr>
          </w:pPr>
          <w:hyperlink w:anchor="_Toc515834311" w:history="1">
            <w:r w:rsidR="00433BD4" w:rsidRPr="00FA5522">
              <w:rPr>
                <w:rStyle w:val="aa"/>
                <w:rFonts w:hint="eastAsia"/>
                <w:noProof/>
              </w:rPr>
              <w:t>场外期权业务新规发布</w:t>
            </w:r>
            <w:r w:rsidR="00433BD4" w:rsidRPr="00FA5522">
              <w:rPr>
                <w:rStyle w:val="aa"/>
                <w:noProof/>
              </w:rPr>
              <w:t xml:space="preserve"> </w:t>
            </w:r>
            <w:r w:rsidR="00433BD4" w:rsidRPr="00FA5522">
              <w:rPr>
                <w:rStyle w:val="aa"/>
                <w:rFonts w:hint="eastAsia"/>
                <w:noProof/>
              </w:rPr>
              <w:t>证券公司将实行分类管理</w:t>
            </w:r>
            <w:r w:rsidR="00433BD4">
              <w:rPr>
                <w:noProof/>
                <w:webHidden/>
              </w:rPr>
              <w:tab/>
            </w:r>
            <w:r w:rsidR="00433BD4">
              <w:rPr>
                <w:noProof/>
                <w:webHidden/>
              </w:rPr>
              <w:fldChar w:fldCharType="begin"/>
            </w:r>
            <w:r w:rsidR="00433BD4">
              <w:rPr>
                <w:noProof/>
                <w:webHidden/>
              </w:rPr>
              <w:instrText xml:space="preserve"> PAGEREF _Toc515834311 \h </w:instrText>
            </w:r>
            <w:r w:rsidR="00433BD4">
              <w:rPr>
                <w:noProof/>
                <w:webHidden/>
              </w:rPr>
            </w:r>
            <w:r w:rsidR="00433BD4">
              <w:rPr>
                <w:noProof/>
                <w:webHidden/>
              </w:rPr>
              <w:fldChar w:fldCharType="separate"/>
            </w:r>
            <w:r w:rsidR="00DD3C5F">
              <w:rPr>
                <w:noProof/>
                <w:webHidden/>
              </w:rPr>
              <w:t>8</w:t>
            </w:r>
            <w:r w:rsidR="00433BD4">
              <w:rPr>
                <w:noProof/>
                <w:webHidden/>
              </w:rPr>
              <w:fldChar w:fldCharType="end"/>
            </w:r>
          </w:hyperlink>
        </w:p>
        <w:p w:rsidR="00433BD4" w:rsidRDefault="00AA0554">
          <w:pPr>
            <w:pStyle w:val="20"/>
            <w:tabs>
              <w:tab w:val="right" w:leader="dot" w:pos="11046"/>
            </w:tabs>
            <w:rPr>
              <w:noProof/>
            </w:rPr>
          </w:pPr>
          <w:hyperlink w:anchor="_Toc515834312" w:history="1">
            <w:r w:rsidR="00433BD4" w:rsidRPr="00FA5522">
              <w:rPr>
                <w:rStyle w:val="aa"/>
                <w:rFonts w:hint="eastAsia"/>
                <w:noProof/>
              </w:rPr>
              <w:t>抑制企业多头和过度融资</w:t>
            </w:r>
            <w:r w:rsidR="00433BD4" w:rsidRPr="00FA5522">
              <w:rPr>
                <w:rStyle w:val="aa"/>
                <w:noProof/>
              </w:rPr>
              <w:t xml:space="preserve"> </w:t>
            </w:r>
            <w:r w:rsidR="00433BD4" w:rsidRPr="00FA5522">
              <w:rPr>
                <w:rStyle w:val="aa"/>
                <w:rFonts w:hint="eastAsia"/>
                <w:noProof/>
              </w:rPr>
              <w:t>银保监会规范银行业金融机构联合授信管理</w:t>
            </w:r>
            <w:r w:rsidR="00433BD4">
              <w:rPr>
                <w:noProof/>
                <w:webHidden/>
              </w:rPr>
              <w:tab/>
            </w:r>
            <w:r w:rsidR="00433BD4">
              <w:rPr>
                <w:noProof/>
                <w:webHidden/>
              </w:rPr>
              <w:fldChar w:fldCharType="begin"/>
            </w:r>
            <w:r w:rsidR="00433BD4">
              <w:rPr>
                <w:noProof/>
                <w:webHidden/>
              </w:rPr>
              <w:instrText xml:space="preserve"> PAGEREF _Toc515834312 \h </w:instrText>
            </w:r>
            <w:r w:rsidR="00433BD4">
              <w:rPr>
                <w:noProof/>
                <w:webHidden/>
              </w:rPr>
            </w:r>
            <w:r w:rsidR="00433BD4">
              <w:rPr>
                <w:noProof/>
                <w:webHidden/>
              </w:rPr>
              <w:fldChar w:fldCharType="separate"/>
            </w:r>
            <w:r w:rsidR="00DD3C5F">
              <w:rPr>
                <w:noProof/>
                <w:webHidden/>
              </w:rPr>
              <w:t>9</w:t>
            </w:r>
            <w:r w:rsidR="00433BD4">
              <w:rPr>
                <w:noProof/>
                <w:webHidden/>
              </w:rPr>
              <w:fldChar w:fldCharType="end"/>
            </w:r>
          </w:hyperlink>
        </w:p>
        <w:p w:rsidR="00433BD4" w:rsidRDefault="00AA0554">
          <w:pPr>
            <w:pStyle w:val="20"/>
            <w:tabs>
              <w:tab w:val="right" w:leader="dot" w:pos="11046"/>
            </w:tabs>
            <w:rPr>
              <w:noProof/>
            </w:rPr>
          </w:pPr>
          <w:hyperlink w:anchor="_Toc515834313" w:history="1">
            <w:r w:rsidR="00433BD4" w:rsidRPr="00FA5522">
              <w:rPr>
                <w:rStyle w:val="aa"/>
                <w:rFonts w:hint="eastAsia"/>
                <w:noProof/>
              </w:rPr>
              <w:t>银保监会专项检查影子银行</w:t>
            </w:r>
            <w:r w:rsidR="00433BD4" w:rsidRPr="00FA5522">
              <w:rPr>
                <w:rStyle w:val="aa"/>
                <w:noProof/>
              </w:rPr>
              <w:t xml:space="preserve"> </w:t>
            </w:r>
            <w:r w:rsidR="00433BD4" w:rsidRPr="00FA5522">
              <w:rPr>
                <w:rStyle w:val="aa"/>
                <w:rFonts w:hint="eastAsia"/>
                <w:noProof/>
              </w:rPr>
              <w:t>部分信托公司已暂停通道业务</w:t>
            </w:r>
            <w:r w:rsidR="00433BD4">
              <w:rPr>
                <w:noProof/>
                <w:webHidden/>
              </w:rPr>
              <w:tab/>
            </w:r>
            <w:r w:rsidR="00433BD4">
              <w:rPr>
                <w:noProof/>
                <w:webHidden/>
              </w:rPr>
              <w:fldChar w:fldCharType="begin"/>
            </w:r>
            <w:r w:rsidR="00433BD4">
              <w:rPr>
                <w:noProof/>
                <w:webHidden/>
              </w:rPr>
              <w:instrText xml:space="preserve"> PAGEREF _Toc515834313 \h </w:instrText>
            </w:r>
            <w:r w:rsidR="00433BD4">
              <w:rPr>
                <w:noProof/>
                <w:webHidden/>
              </w:rPr>
            </w:r>
            <w:r w:rsidR="00433BD4">
              <w:rPr>
                <w:noProof/>
                <w:webHidden/>
              </w:rPr>
              <w:fldChar w:fldCharType="separate"/>
            </w:r>
            <w:r w:rsidR="00DD3C5F">
              <w:rPr>
                <w:noProof/>
                <w:webHidden/>
              </w:rPr>
              <w:t>11</w:t>
            </w:r>
            <w:r w:rsidR="00433BD4">
              <w:rPr>
                <w:noProof/>
                <w:webHidden/>
              </w:rPr>
              <w:fldChar w:fldCharType="end"/>
            </w:r>
          </w:hyperlink>
        </w:p>
        <w:p w:rsidR="00433BD4" w:rsidRDefault="00AA0554">
          <w:pPr>
            <w:pStyle w:val="20"/>
            <w:tabs>
              <w:tab w:val="right" w:leader="dot" w:pos="11046"/>
            </w:tabs>
            <w:rPr>
              <w:noProof/>
            </w:rPr>
          </w:pPr>
          <w:hyperlink w:anchor="_Toc515834314" w:history="1">
            <w:r w:rsidR="00433BD4" w:rsidRPr="00FA5522">
              <w:rPr>
                <w:rStyle w:val="aa"/>
                <w:rFonts w:hint="eastAsia"/>
                <w:noProof/>
              </w:rPr>
              <w:t>上交所就收盘交易机制相关规则修订公开征求意见</w:t>
            </w:r>
            <w:r w:rsidR="00433BD4">
              <w:rPr>
                <w:noProof/>
                <w:webHidden/>
              </w:rPr>
              <w:tab/>
            </w:r>
            <w:r w:rsidR="00433BD4">
              <w:rPr>
                <w:noProof/>
                <w:webHidden/>
              </w:rPr>
              <w:fldChar w:fldCharType="begin"/>
            </w:r>
            <w:r w:rsidR="00433BD4">
              <w:rPr>
                <w:noProof/>
                <w:webHidden/>
              </w:rPr>
              <w:instrText xml:space="preserve"> PAGEREF _Toc515834314 \h </w:instrText>
            </w:r>
            <w:r w:rsidR="00433BD4">
              <w:rPr>
                <w:noProof/>
                <w:webHidden/>
              </w:rPr>
            </w:r>
            <w:r w:rsidR="00433BD4">
              <w:rPr>
                <w:noProof/>
                <w:webHidden/>
              </w:rPr>
              <w:fldChar w:fldCharType="separate"/>
            </w:r>
            <w:r w:rsidR="00DD3C5F">
              <w:rPr>
                <w:noProof/>
                <w:webHidden/>
              </w:rPr>
              <w:t>12</w:t>
            </w:r>
            <w:r w:rsidR="00433BD4">
              <w:rPr>
                <w:noProof/>
                <w:webHidden/>
              </w:rPr>
              <w:fldChar w:fldCharType="end"/>
            </w:r>
          </w:hyperlink>
        </w:p>
        <w:p w:rsidR="00433BD4" w:rsidRDefault="00AA0554">
          <w:pPr>
            <w:pStyle w:val="20"/>
            <w:tabs>
              <w:tab w:val="right" w:leader="dot" w:pos="11046"/>
            </w:tabs>
            <w:rPr>
              <w:noProof/>
            </w:rPr>
          </w:pPr>
          <w:hyperlink w:anchor="_Toc515834315" w:history="1">
            <w:r w:rsidR="00433BD4" w:rsidRPr="00FA5522">
              <w:rPr>
                <w:rStyle w:val="aa"/>
                <w:rFonts w:hint="eastAsia"/>
                <w:noProof/>
              </w:rPr>
              <w:t>货币市场基金互联网销售赎回服务规范意见出台</w:t>
            </w:r>
            <w:r w:rsidR="00433BD4">
              <w:rPr>
                <w:noProof/>
                <w:webHidden/>
              </w:rPr>
              <w:tab/>
            </w:r>
            <w:r w:rsidR="00433BD4">
              <w:rPr>
                <w:noProof/>
                <w:webHidden/>
              </w:rPr>
              <w:fldChar w:fldCharType="begin"/>
            </w:r>
            <w:r w:rsidR="00433BD4">
              <w:rPr>
                <w:noProof/>
                <w:webHidden/>
              </w:rPr>
              <w:instrText xml:space="preserve"> PAGEREF _Toc515834315 \h </w:instrText>
            </w:r>
            <w:r w:rsidR="00433BD4">
              <w:rPr>
                <w:noProof/>
                <w:webHidden/>
              </w:rPr>
            </w:r>
            <w:r w:rsidR="00433BD4">
              <w:rPr>
                <w:noProof/>
                <w:webHidden/>
              </w:rPr>
              <w:fldChar w:fldCharType="separate"/>
            </w:r>
            <w:r w:rsidR="00DD3C5F">
              <w:rPr>
                <w:noProof/>
                <w:webHidden/>
              </w:rPr>
              <w:t>13</w:t>
            </w:r>
            <w:r w:rsidR="00433BD4">
              <w:rPr>
                <w:noProof/>
                <w:webHidden/>
              </w:rPr>
              <w:fldChar w:fldCharType="end"/>
            </w:r>
          </w:hyperlink>
        </w:p>
        <w:p w:rsidR="00433BD4" w:rsidRDefault="00AA0554">
          <w:pPr>
            <w:pStyle w:val="20"/>
            <w:tabs>
              <w:tab w:val="right" w:leader="dot" w:pos="11046"/>
            </w:tabs>
            <w:rPr>
              <w:noProof/>
            </w:rPr>
          </w:pPr>
          <w:hyperlink w:anchor="_Toc515834316" w:history="1">
            <w:r w:rsidR="00433BD4" w:rsidRPr="00FA5522">
              <w:rPr>
                <w:rStyle w:val="aa"/>
                <w:noProof/>
              </w:rPr>
              <w:t>ABS</w:t>
            </w:r>
            <w:r w:rsidR="00433BD4" w:rsidRPr="00FA5522">
              <w:rPr>
                <w:rStyle w:val="aa"/>
                <w:rFonts w:hint="eastAsia"/>
                <w:noProof/>
              </w:rPr>
              <w:t>大类基础资产信披指引料近期出台</w:t>
            </w:r>
            <w:r w:rsidR="00433BD4">
              <w:rPr>
                <w:noProof/>
                <w:webHidden/>
              </w:rPr>
              <w:tab/>
            </w:r>
            <w:r w:rsidR="00433BD4">
              <w:rPr>
                <w:noProof/>
                <w:webHidden/>
              </w:rPr>
              <w:fldChar w:fldCharType="begin"/>
            </w:r>
            <w:r w:rsidR="00433BD4">
              <w:rPr>
                <w:noProof/>
                <w:webHidden/>
              </w:rPr>
              <w:instrText xml:space="preserve"> PAGEREF _Toc515834316 \h </w:instrText>
            </w:r>
            <w:r w:rsidR="00433BD4">
              <w:rPr>
                <w:noProof/>
                <w:webHidden/>
              </w:rPr>
            </w:r>
            <w:r w:rsidR="00433BD4">
              <w:rPr>
                <w:noProof/>
                <w:webHidden/>
              </w:rPr>
              <w:fldChar w:fldCharType="separate"/>
            </w:r>
            <w:r w:rsidR="00DD3C5F">
              <w:rPr>
                <w:noProof/>
                <w:webHidden/>
              </w:rPr>
              <w:t>14</w:t>
            </w:r>
            <w:r w:rsidR="00433BD4">
              <w:rPr>
                <w:noProof/>
                <w:webHidden/>
              </w:rPr>
              <w:fldChar w:fldCharType="end"/>
            </w:r>
          </w:hyperlink>
        </w:p>
        <w:p w:rsidR="00433BD4" w:rsidRDefault="00AA0554">
          <w:pPr>
            <w:pStyle w:val="10"/>
            <w:rPr>
              <w:noProof/>
            </w:rPr>
          </w:pPr>
          <w:hyperlink w:anchor="_Toc515834317" w:history="1">
            <w:r w:rsidR="00433BD4" w:rsidRPr="00FA5522">
              <w:rPr>
                <w:rStyle w:val="aa"/>
                <w:rFonts w:hint="eastAsia"/>
                <w:noProof/>
              </w:rPr>
              <w:t>行业新闻</w:t>
            </w:r>
            <w:r w:rsidR="00433BD4">
              <w:rPr>
                <w:noProof/>
                <w:webHidden/>
              </w:rPr>
              <w:tab/>
            </w:r>
            <w:r w:rsidR="00433BD4">
              <w:rPr>
                <w:noProof/>
                <w:webHidden/>
              </w:rPr>
              <w:fldChar w:fldCharType="begin"/>
            </w:r>
            <w:r w:rsidR="00433BD4">
              <w:rPr>
                <w:noProof/>
                <w:webHidden/>
              </w:rPr>
              <w:instrText xml:space="preserve"> PAGEREF _Toc515834317 \h </w:instrText>
            </w:r>
            <w:r w:rsidR="00433BD4">
              <w:rPr>
                <w:noProof/>
                <w:webHidden/>
              </w:rPr>
            </w:r>
            <w:r w:rsidR="00433BD4">
              <w:rPr>
                <w:noProof/>
                <w:webHidden/>
              </w:rPr>
              <w:fldChar w:fldCharType="separate"/>
            </w:r>
            <w:r w:rsidR="00DD3C5F">
              <w:rPr>
                <w:noProof/>
                <w:webHidden/>
              </w:rPr>
              <w:t>16</w:t>
            </w:r>
            <w:r w:rsidR="00433BD4">
              <w:rPr>
                <w:noProof/>
                <w:webHidden/>
              </w:rPr>
              <w:fldChar w:fldCharType="end"/>
            </w:r>
          </w:hyperlink>
        </w:p>
        <w:p w:rsidR="00433BD4" w:rsidRDefault="00AA0554">
          <w:pPr>
            <w:pStyle w:val="20"/>
            <w:tabs>
              <w:tab w:val="right" w:leader="dot" w:pos="11046"/>
            </w:tabs>
            <w:rPr>
              <w:noProof/>
            </w:rPr>
          </w:pPr>
          <w:hyperlink w:anchor="_Toc515834318" w:history="1">
            <w:r w:rsidR="00433BD4" w:rsidRPr="00FA5522">
              <w:rPr>
                <w:rStyle w:val="aa"/>
                <w:noProof/>
              </w:rPr>
              <w:t>12</w:t>
            </w:r>
            <w:r w:rsidR="00433BD4" w:rsidRPr="00FA5522">
              <w:rPr>
                <w:rStyle w:val="aa"/>
                <w:rFonts w:hint="eastAsia"/>
                <w:noProof/>
              </w:rPr>
              <w:t>家险企获经营资格</w:t>
            </w:r>
            <w:r w:rsidR="00433BD4" w:rsidRPr="00FA5522">
              <w:rPr>
                <w:rStyle w:val="aa"/>
                <w:noProof/>
              </w:rPr>
              <w:t xml:space="preserve"> </w:t>
            </w:r>
            <w:r w:rsidR="00433BD4" w:rsidRPr="00FA5522">
              <w:rPr>
                <w:rStyle w:val="aa"/>
                <w:rFonts w:hint="eastAsia"/>
                <w:noProof/>
              </w:rPr>
              <w:t>税延养老险首单或下周落地</w:t>
            </w:r>
            <w:r w:rsidR="00433BD4">
              <w:rPr>
                <w:noProof/>
                <w:webHidden/>
              </w:rPr>
              <w:tab/>
            </w:r>
            <w:r w:rsidR="00433BD4">
              <w:rPr>
                <w:noProof/>
                <w:webHidden/>
              </w:rPr>
              <w:fldChar w:fldCharType="begin"/>
            </w:r>
            <w:r w:rsidR="00433BD4">
              <w:rPr>
                <w:noProof/>
                <w:webHidden/>
              </w:rPr>
              <w:instrText xml:space="preserve"> PAGEREF _Toc515834318 \h </w:instrText>
            </w:r>
            <w:r w:rsidR="00433BD4">
              <w:rPr>
                <w:noProof/>
                <w:webHidden/>
              </w:rPr>
            </w:r>
            <w:r w:rsidR="00433BD4">
              <w:rPr>
                <w:noProof/>
                <w:webHidden/>
              </w:rPr>
              <w:fldChar w:fldCharType="separate"/>
            </w:r>
            <w:r w:rsidR="00DD3C5F">
              <w:rPr>
                <w:noProof/>
                <w:webHidden/>
              </w:rPr>
              <w:t>16</w:t>
            </w:r>
            <w:r w:rsidR="00433BD4">
              <w:rPr>
                <w:noProof/>
                <w:webHidden/>
              </w:rPr>
              <w:fldChar w:fldCharType="end"/>
            </w:r>
          </w:hyperlink>
        </w:p>
        <w:p w:rsidR="00433BD4" w:rsidRDefault="00AA0554">
          <w:pPr>
            <w:pStyle w:val="20"/>
            <w:tabs>
              <w:tab w:val="right" w:leader="dot" w:pos="11046"/>
            </w:tabs>
            <w:rPr>
              <w:noProof/>
            </w:rPr>
          </w:pPr>
          <w:hyperlink w:anchor="_Toc515834319" w:history="1">
            <w:r w:rsidR="00433BD4" w:rsidRPr="00FA5522">
              <w:rPr>
                <w:rStyle w:val="aa"/>
                <w:rFonts w:hint="eastAsia"/>
                <w:noProof/>
              </w:rPr>
              <w:t>中国平安与深圳市政府签署战略合作协议</w:t>
            </w:r>
            <w:r w:rsidR="00433BD4" w:rsidRPr="00FA5522">
              <w:rPr>
                <w:rStyle w:val="aa"/>
                <w:noProof/>
              </w:rPr>
              <w:t xml:space="preserve"> </w:t>
            </w:r>
            <w:r w:rsidR="00433BD4" w:rsidRPr="00FA5522">
              <w:rPr>
                <w:rStyle w:val="aa"/>
                <w:rFonts w:hint="eastAsia"/>
                <w:noProof/>
              </w:rPr>
              <w:t>在前海设</w:t>
            </w:r>
            <w:r w:rsidR="00433BD4" w:rsidRPr="00FA5522">
              <w:rPr>
                <w:rStyle w:val="aa"/>
                <w:noProof/>
              </w:rPr>
              <w:t>1500</w:t>
            </w:r>
            <w:r w:rsidR="00433BD4" w:rsidRPr="00FA5522">
              <w:rPr>
                <w:rStyle w:val="aa"/>
                <w:rFonts w:hint="eastAsia"/>
                <w:noProof/>
              </w:rPr>
              <w:t>亿发展基金</w:t>
            </w:r>
            <w:r w:rsidR="00433BD4">
              <w:rPr>
                <w:noProof/>
                <w:webHidden/>
              </w:rPr>
              <w:tab/>
            </w:r>
            <w:r w:rsidR="00433BD4">
              <w:rPr>
                <w:noProof/>
                <w:webHidden/>
              </w:rPr>
              <w:fldChar w:fldCharType="begin"/>
            </w:r>
            <w:r w:rsidR="00433BD4">
              <w:rPr>
                <w:noProof/>
                <w:webHidden/>
              </w:rPr>
              <w:instrText xml:space="preserve"> PAGEREF _Toc515834319 \h </w:instrText>
            </w:r>
            <w:r w:rsidR="00433BD4">
              <w:rPr>
                <w:noProof/>
                <w:webHidden/>
              </w:rPr>
            </w:r>
            <w:r w:rsidR="00433BD4">
              <w:rPr>
                <w:noProof/>
                <w:webHidden/>
              </w:rPr>
              <w:fldChar w:fldCharType="separate"/>
            </w:r>
            <w:r w:rsidR="00DD3C5F">
              <w:rPr>
                <w:noProof/>
                <w:webHidden/>
              </w:rPr>
              <w:t>17</w:t>
            </w:r>
            <w:r w:rsidR="00433BD4">
              <w:rPr>
                <w:noProof/>
                <w:webHidden/>
              </w:rPr>
              <w:fldChar w:fldCharType="end"/>
            </w:r>
          </w:hyperlink>
        </w:p>
        <w:p w:rsidR="00433BD4" w:rsidRDefault="00AA0554">
          <w:pPr>
            <w:pStyle w:val="20"/>
            <w:tabs>
              <w:tab w:val="right" w:leader="dot" w:pos="11046"/>
            </w:tabs>
            <w:rPr>
              <w:noProof/>
            </w:rPr>
          </w:pPr>
          <w:hyperlink w:anchor="_Toc515834320" w:history="1">
            <w:r w:rsidR="00433BD4" w:rsidRPr="00FA5522">
              <w:rPr>
                <w:rStyle w:val="aa"/>
                <w:noProof/>
              </w:rPr>
              <w:t>A</w:t>
            </w:r>
            <w:r w:rsidR="00433BD4" w:rsidRPr="00FA5522">
              <w:rPr>
                <w:rStyle w:val="aa"/>
                <w:rFonts w:hint="eastAsia"/>
                <w:noProof/>
              </w:rPr>
              <w:t>股纳入</w:t>
            </w:r>
            <w:r w:rsidR="00433BD4" w:rsidRPr="00FA5522">
              <w:rPr>
                <w:rStyle w:val="aa"/>
                <w:noProof/>
              </w:rPr>
              <w:t>MSCI</w:t>
            </w:r>
            <w:r w:rsidR="00433BD4" w:rsidRPr="00FA5522">
              <w:rPr>
                <w:rStyle w:val="aa"/>
                <w:rFonts w:hint="eastAsia"/>
                <w:noProof/>
              </w:rPr>
              <w:t>启动会</w:t>
            </w:r>
            <w:r w:rsidR="00433BD4" w:rsidRPr="00FA5522">
              <w:rPr>
                <w:rStyle w:val="aa"/>
                <w:noProof/>
              </w:rPr>
              <w:t>5</w:t>
            </w:r>
            <w:r w:rsidR="00433BD4" w:rsidRPr="00FA5522">
              <w:rPr>
                <w:rStyle w:val="aa"/>
                <w:rFonts w:hint="eastAsia"/>
                <w:noProof/>
              </w:rPr>
              <w:t>月</w:t>
            </w:r>
            <w:r w:rsidR="00433BD4" w:rsidRPr="00FA5522">
              <w:rPr>
                <w:rStyle w:val="aa"/>
                <w:noProof/>
              </w:rPr>
              <w:t>31</w:t>
            </w:r>
            <w:r w:rsidR="00433BD4" w:rsidRPr="00FA5522">
              <w:rPr>
                <w:rStyle w:val="aa"/>
                <w:rFonts w:hint="eastAsia"/>
                <w:noProof/>
              </w:rPr>
              <w:t>日在上交所举行</w:t>
            </w:r>
            <w:r w:rsidR="00433BD4">
              <w:rPr>
                <w:noProof/>
                <w:webHidden/>
              </w:rPr>
              <w:tab/>
            </w:r>
            <w:r w:rsidR="00433BD4">
              <w:rPr>
                <w:noProof/>
                <w:webHidden/>
              </w:rPr>
              <w:fldChar w:fldCharType="begin"/>
            </w:r>
            <w:r w:rsidR="00433BD4">
              <w:rPr>
                <w:noProof/>
                <w:webHidden/>
              </w:rPr>
              <w:instrText xml:space="preserve"> PAGEREF _Toc515834320 \h </w:instrText>
            </w:r>
            <w:r w:rsidR="00433BD4">
              <w:rPr>
                <w:noProof/>
                <w:webHidden/>
              </w:rPr>
            </w:r>
            <w:r w:rsidR="00433BD4">
              <w:rPr>
                <w:noProof/>
                <w:webHidden/>
              </w:rPr>
              <w:fldChar w:fldCharType="separate"/>
            </w:r>
            <w:r w:rsidR="00DD3C5F">
              <w:rPr>
                <w:noProof/>
                <w:webHidden/>
              </w:rPr>
              <w:t>19</w:t>
            </w:r>
            <w:r w:rsidR="00433BD4">
              <w:rPr>
                <w:noProof/>
                <w:webHidden/>
              </w:rPr>
              <w:fldChar w:fldCharType="end"/>
            </w:r>
          </w:hyperlink>
        </w:p>
        <w:p w:rsidR="00433BD4" w:rsidRDefault="00AA0554">
          <w:pPr>
            <w:pStyle w:val="10"/>
            <w:rPr>
              <w:noProof/>
            </w:rPr>
          </w:pPr>
          <w:hyperlink w:anchor="_Toc515834321" w:history="1">
            <w:r w:rsidR="00433BD4" w:rsidRPr="00FA5522">
              <w:rPr>
                <w:rStyle w:val="aa"/>
                <w:rFonts w:hint="eastAsia"/>
                <w:noProof/>
              </w:rPr>
              <w:t>产品情况</w:t>
            </w:r>
            <w:r w:rsidR="00433BD4">
              <w:rPr>
                <w:noProof/>
                <w:webHidden/>
              </w:rPr>
              <w:tab/>
            </w:r>
            <w:r w:rsidR="00433BD4">
              <w:rPr>
                <w:noProof/>
                <w:webHidden/>
              </w:rPr>
              <w:fldChar w:fldCharType="begin"/>
            </w:r>
            <w:r w:rsidR="00433BD4">
              <w:rPr>
                <w:noProof/>
                <w:webHidden/>
              </w:rPr>
              <w:instrText xml:space="preserve"> PAGEREF _Toc515834321 \h </w:instrText>
            </w:r>
            <w:r w:rsidR="00433BD4">
              <w:rPr>
                <w:noProof/>
                <w:webHidden/>
              </w:rPr>
            </w:r>
            <w:r w:rsidR="00433BD4">
              <w:rPr>
                <w:noProof/>
                <w:webHidden/>
              </w:rPr>
              <w:fldChar w:fldCharType="separate"/>
            </w:r>
            <w:r w:rsidR="00DD3C5F">
              <w:rPr>
                <w:noProof/>
                <w:webHidden/>
              </w:rPr>
              <w:t>21</w:t>
            </w:r>
            <w:r w:rsidR="00433BD4">
              <w:rPr>
                <w:noProof/>
                <w:webHidden/>
              </w:rPr>
              <w:fldChar w:fldCharType="end"/>
            </w:r>
          </w:hyperlink>
        </w:p>
        <w:p w:rsidR="00433BD4" w:rsidRDefault="00AA0554">
          <w:pPr>
            <w:pStyle w:val="20"/>
            <w:tabs>
              <w:tab w:val="right" w:leader="dot" w:pos="11046"/>
            </w:tabs>
            <w:rPr>
              <w:noProof/>
            </w:rPr>
          </w:pPr>
          <w:hyperlink w:anchor="_Toc515834322" w:history="1">
            <w:r w:rsidR="00433BD4" w:rsidRPr="00FA5522">
              <w:rPr>
                <w:rStyle w:val="aa"/>
                <w:rFonts w:hint="eastAsia"/>
                <w:noProof/>
              </w:rPr>
              <w:t>信托产品</w:t>
            </w:r>
            <w:r w:rsidR="00433BD4">
              <w:rPr>
                <w:noProof/>
                <w:webHidden/>
              </w:rPr>
              <w:tab/>
            </w:r>
            <w:r w:rsidR="00433BD4">
              <w:rPr>
                <w:noProof/>
                <w:webHidden/>
              </w:rPr>
              <w:fldChar w:fldCharType="begin"/>
            </w:r>
            <w:r w:rsidR="00433BD4">
              <w:rPr>
                <w:noProof/>
                <w:webHidden/>
              </w:rPr>
              <w:instrText xml:space="preserve"> PAGEREF _Toc515834322 \h </w:instrText>
            </w:r>
            <w:r w:rsidR="00433BD4">
              <w:rPr>
                <w:noProof/>
                <w:webHidden/>
              </w:rPr>
            </w:r>
            <w:r w:rsidR="00433BD4">
              <w:rPr>
                <w:noProof/>
                <w:webHidden/>
              </w:rPr>
              <w:fldChar w:fldCharType="separate"/>
            </w:r>
            <w:r w:rsidR="00DD3C5F">
              <w:rPr>
                <w:noProof/>
                <w:webHidden/>
              </w:rPr>
              <w:t>21</w:t>
            </w:r>
            <w:r w:rsidR="00433BD4">
              <w:rPr>
                <w:noProof/>
                <w:webHidden/>
              </w:rPr>
              <w:fldChar w:fldCharType="end"/>
            </w:r>
          </w:hyperlink>
        </w:p>
        <w:p w:rsidR="00433BD4" w:rsidRDefault="00AA0554">
          <w:pPr>
            <w:pStyle w:val="20"/>
            <w:tabs>
              <w:tab w:val="right" w:leader="dot" w:pos="11046"/>
            </w:tabs>
            <w:rPr>
              <w:noProof/>
            </w:rPr>
          </w:pPr>
          <w:hyperlink w:anchor="_Toc515834323" w:history="1">
            <w:r w:rsidR="00433BD4" w:rsidRPr="00FA5522">
              <w:rPr>
                <w:rStyle w:val="aa"/>
                <w:rFonts w:hint="eastAsia"/>
                <w:noProof/>
              </w:rPr>
              <w:t>资管产品</w:t>
            </w:r>
            <w:r w:rsidR="00433BD4">
              <w:rPr>
                <w:noProof/>
                <w:webHidden/>
              </w:rPr>
              <w:tab/>
            </w:r>
            <w:r w:rsidR="00433BD4">
              <w:rPr>
                <w:noProof/>
                <w:webHidden/>
              </w:rPr>
              <w:fldChar w:fldCharType="begin"/>
            </w:r>
            <w:r w:rsidR="00433BD4">
              <w:rPr>
                <w:noProof/>
                <w:webHidden/>
              </w:rPr>
              <w:instrText xml:space="preserve"> PAGEREF _Toc515834323 \h </w:instrText>
            </w:r>
            <w:r w:rsidR="00433BD4">
              <w:rPr>
                <w:noProof/>
                <w:webHidden/>
              </w:rPr>
            </w:r>
            <w:r w:rsidR="00433BD4">
              <w:rPr>
                <w:noProof/>
                <w:webHidden/>
              </w:rPr>
              <w:fldChar w:fldCharType="separate"/>
            </w:r>
            <w:r w:rsidR="00DD3C5F">
              <w:rPr>
                <w:noProof/>
                <w:webHidden/>
              </w:rPr>
              <w:t>21</w:t>
            </w:r>
            <w:r w:rsidR="00433BD4">
              <w:rPr>
                <w:noProof/>
                <w:webHidden/>
              </w:rPr>
              <w:fldChar w:fldCharType="end"/>
            </w:r>
          </w:hyperlink>
        </w:p>
        <w:p w:rsidR="00433BD4" w:rsidRDefault="00AA0554">
          <w:pPr>
            <w:pStyle w:val="20"/>
            <w:tabs>
              <w:tab w:val="right" w:leader="dot" w:pos="11046"/>
            </w:tabs>
            <w:rPr>
              <w:noProof/>
            </w:rPr>
          </w:pPr>
          <w:hyperlink w:anchor="_Toc515834324" w:history="1">
            <w:r w:rsidR="00433BD4" w:rsidRPr="00FA5522">
              <w:rPr>
                <w:rStyle w:val="aa"/>
                <w:rFonts w:hint="eastAsia"/>
                <w:noProof/>
              </w:rPr>
              <w:t>银行理财</w:t>
            </w:r>
            <w:r w:rsidR="00433BD4">
              <w:rPr>
                <w:noProof/>
                <w:webHidden/>
              </w:rPr>
              <w:tab/>
            </w:r>
            <w:r w:rsidR="00433BD4">
              <w:rPr>
                <w:noProof/>
                <w:webHidden/>
              </w:rPr>
              <w:fldChar w:fldCharType="begin"/>
            </w:r>
            <w:r w:rsidR="00433BD4">
              <w:rPr>
                <w:noProof/>
                <w:webHidden/>
              </w:rPr>
              <w:instrText xml:space="preserve"> PAGEREF _Toc515834324 \h </w:instrText>
            </w:r>
            <w:r w:rsidR="00433BD4">
              <w:rPr>
                <w:noProof/>
                <w:webHidden/>
              </w:rPr>
            </w:r>
            <w:r w:rsidR="00433BD4">
              <w:rPr>
                <w:noProof/>
                <w:webHidden/>
              </w:rPr>
              <w:fldChar w:fldCharType="separate"/>
            </w:r>
            <w:r w:rsidR="00DD3C5F">
              <w:rPr>
                <w:noProof/>
                <w:webHidden/>
              </w:rPr>
              <w:t>21</w:t>
            </w:r>
            <w:r w:rsidR="00433BD4">
              <w:rPr>
                <w:noProof/>
                <w:webHidden/>
              </w:rPr>
              <w:fldChar w:fldCharType="end"/>
            </w:r>
          </w:hyperlink>
        </w:p>
        <w:p w:rsidR="00E44CC5" w:rsidRDefault="00677BE7">
          <w:pPr>
            <w:rPr>
              <w:b/>
              <w:bCs/>
              <w:lang w:val="zh-CN"/>
            </w:rPr>
          </w:pPr>
          <w:r>
            <w:rPr>
              <w:bCs/>
              <w:lang w:val="zh-CN"/>
            </w:rPr>
            <w:fldChar w:fldCharType="end"/>
          </w:r>
        </w:p>
      </w:sdtContent>
    </w:sdt>
    <w:p w:rsidR="00E44CC5" w:rsidRDefault="00E44CC5">
      <w:pPr>
        <w:rPr>
          <w:b/>
          <w:bCs/>
          <w:lang w:val="zh-CN"/>
        </w:rPr>
      </w:pPr>
    </w:p>
    <w:p w:rsidR="00E44CC5" w:rsidRDefault="00E44CC5">
      <w:pPr>
        <w:rPr>
          <w:b/>
          <w:bCs/>
          <w:lang w:val="zh-CN"/>
        </w:rPr>
      </w:pPr>
    </w:p>
    <w:p w:rsidR="00E44CC5" w:rsidRDefault="00E44CC5">
      <w:pPr>
        <w:rPr>
          <w:b/>
          <w:bCs/>
          <w:lang w:val="zh-CN"/>
        </w:rPr>
      </w:pPr>
    </w:p>
    <w:p w:rsidR="00E44CC5" w:rsidRDefault="00E44CC5">
      <w:pPr>
        <w:rPr>
          <w:b/>
          <w:bCs/>
          <w:lang w:val="zh-CN"/>
        </w:rPr>
      </w:pPr>
    </w:p>
    <w:p w:rsidR="00E44CC5" w:rsidRDefault="00E44CC5">
      <w:pPr>
        <w:rPr>
          <w:b/>
          <w:bCs/>
          <w:lang w:val="zh-CN"/>
        </w:rPr>
      </w:pPr>
    </w:p>
    <w:p w:rsidR="00E44CC5" w:rsidRDefault="00E44CC5">
      <w:pPr>
        <w:rPr>
          <w:b/>
          <w:bCs/>
          <w:lang w:val="zh-CN"/>
        </w:rPr>
      </w:pPr>
    </w:p>
    <w:p w:rsidR="00E44CC5" w:rsidRDefault="00E44CC5">
      <w:pPr>
        <w:rPr>
          <w:b/>
          <w:bCs/>
          <w:lang w:val="zh-CN"/>
        </w:rPr>
      </w:pPr>
    </w:p>
    <w:p w:rsidR="00E44CC5" w:rsidRDefault="00E44CC5">
      <w:pPr>
        <w:rPr>
          <w:b/>
          <w:bCs/>
          <w:lang w:val="zh-CN"/>
        </w:rPr>
      </w:pPr>
    </w:p>
    <w:p w:rsidR="00E44CC5" w:rsidRDefault="00E44CC5">
      <w:pPr>
        <w:rPr>
          <w:b/>
          <w:bCs/>
          <w:lang w:val="zh-CN"/>
        </w:rPr>
      </w:pPr>
    </w:p>
    <w:p w:rsidR="00C429CE" w:rsidRDefault="00C429CE">
      <w:pPr>
        <w:rPr>
          <w:b/>
          <w:bCs/>
          <w:lang w:val="zh-CN"/>
        </w:rPr>
      </w:pPr>
    </w:p>
    <w:p w:rsidR="00C429CE" w:rsidRDefault="00C429CE">
      <w:pPr>
        <w:rPr>
          <w:b/>
          <w:bCs/>
          <w:lang w:val="zh-CN"/>
        </w:rPr>
      </w:pPr>
    </w:p>
    <w:p w:rsidR="00C429CE" w:rsidRDefault="00C429CE">
      <w:pPr>
        <w:rPr>
          <w:b/>
          <w:bCs/>
          <w:lang w:val="zh-CN"/>
        </w:rPr>
      </w:pPr>
    </w:p>
    <w:p w:rsidR="00C429CE" w:rsidRDefault="00C429CE">
      <w:pPr>
        <w:rPr>
          <w:b/>
          <w:bCs/>
          <w:lang w:val="zh-CN"/>
        </w:rPr>
      </w:pPr>
    </w:p>
    <w:p w:rsidR="00C429CE" w:rsidRDefault="00C429CE">
      <w:pPr>
        <w:rPr>
          <w:b/>
          <w:bCs/>
          <w:lang w:val="zh-CN"/>
        </w:rPr>
      </w:pPr>
    </w:p>
    <w:p w:rsidR="00C429CE" w:rsidRDefault="00C429CE">
      <w:pPr>
        <w:rPr>
          <w:b/>
          <w:bCs/>
          <w:lang w:val="zh-CN"/>
        </w:rPr>
      </w:pPr>
    </w:p>
    <w:p w:rsidR="00C429CE" w:rsidRDefault="00C429CE">
      <w:pPr>
        <w:rPr>
          <w:b/>
          <w:bCs/>
          <w:lang w:val="zh-CN"/>
        </w:rPr>
      </w:pPr>
    </w:p>
    <w:p w:rsidR="00C429CE" w:rsidRDefault="00C429CE">
      <w:pPr>
        <w:rPr>
          <w:b/>
          <w:bCs/>
          <w:lang w:val="zh-CN"/>
        </w:rPr>
      </w:pPr>
    </w:p>
    <w:p w:rsidR="00E44CC5" w:rsidRDefault="00E44CC5">
      <w:pPr>
        <w:rPr>
          <w:b/>
          <w:bCs/>
          <w:lang w:val="zh-CN"/>
        </w:rPr>
      </w:pPr>
    </w:p>
    <w:p w:rsidR="00E44CC5" w:rsidRDefault="00E44CC5">
      <w:pPr>
        <w:rPr>
          <w:b/>
          <w:bCs/>
          <w:lang w:val="zh-CN"/>
        </w:rPr>
      </w:pPr>
    </w:p>
    <w:p w:rsidR="007336A4" w:rsidRDefault="007336A4">
      <w:pPr>
        <w:rPr>
          <w:b/>
          <w:bCs/>
          <w:lang w:val="zh-CN"/>
        </w:rPr>
      </w:pPr>
    </w:p>
    <w:p w:rsidR="007336A4" w:rsidRDefault="007336A4">
      <w:pPr>
        <w:rPr>
          <w:b/>
          <w:bCs/>
          <w:lang w:val="zh-CN"/>
        </w:rPr>
      </w:pPr>
    </w:p>
    <w:p w:rsidR="00E44CC5" w:rsidRDefault="00677BE7">
      <w:pPr>
        <w:pStyle w:val="1"/>
        <w:spacing w:before="0"/>
      </w:pPr>
      <w:bookmarkStart w:id="1" w:name="_Toc439600993"/>
      <w:bookmarkStart w:id="2" w:name="_Toc515834305"/>
      <w:r>
        <w:rPr>
          <w:rFonts w:hint="eastAsia"/>
        </w:rPr>
        <w:lastRenderedPageBreak/>
        <w:t>本期导读</w:t>
      </w:r>
      <w:bookmarkEnd w:id="1"/>
      <w:bookmarkEnd w:id="2"/>
    </w:p>
    <w:p w:rsidR="00121871" w:rsidRPr="00121871" w:rsidRDefault="00121871" w:rsidP="00121871">
      <w:pPr>
        <w:pStyle w:val="a6"/>
        <w:shd w:val="clear" w:color="auto" w:fill="FFFFFF"/>
        <w:ind w:firstLineChars="200" w:firstLine="540"/>
        <w:rPr>
          <w:color w:val="333333"/>
          <w:sz w:val="27"/>
          <w:szCs w:val="27"/>
        </w:rPr>
      </w:pPr>
      <w:r w:rsidRPr="00121871">
        <w:rPr>
          <w:rFonts w:hint="eastAsia"/>
          <w:color w:val="333333"/>
          <w:sz w:val="27"/>
          <w:szCs w:val="27"/>
        </w:rPr>
        <w:t>1、国新办举行深化自贸区改革开放方案及经验复制推广发布会。赋予自贸区更大改革自主权。其中，广东自贸试验区拟打造开放型经济新体制先行区、高水平对外开放门户枢纽和粤港澳大湾区合作示范区；天津自贸试验区将围绕构筑开放型经济新体制、增创国际竞争新优势、建设京津冀协同发展示范区；福建自贸试验区将进一步提升政府治理水平、深化两岸经济合作、加快建设21世纪海上丝绸之路核心区。</w:t>
      </w:r>
    </w:p>
    <w:p w:rsidR="00121871" w:rsidRPr="00121871" w:rsidRDefault="007336A4" w:rsidP="00121871">
      <w:pPr>
        <w:pStyle w:val="a6"/>
        <w:shd w:val="clear" w:color="auto" w:fill="FFFFFF"/>
        <w:ind w:firstLineChars="200" w:firstLine="540"/>
        <w:rPr>
          <w:color w:val="333333"/>
          <w:sz w:val="27"/>
          <w:szCs w:val="27"/>
        </w:rPr>
      </w:pPr>
      <w:r>
        <w:rPr>
          <w:color w:val="333333"/>
          <w:sz w:val="27"/>
          <w:szCs w:val="27"/>
        </w:rPr>
        <w:t>2</w:t>
      </w:r>
      <w:r w:rsidR="00121871" w:rsidRPr="00121871">
        <w:rPr>
          <w:rFonts w:hint="eastAsia"/>
          <w:color w:val="333333"/>
          <w:sz w:val="27"/>
          <w:szCs w:val="27"/>
        </w:rPr>
        <w:t>、为加强金融统计工作管理，提高金融统计数据质量，更好地为货币政策决策和宏观审慎管理服务，央行为期半年的2018年金融统计大检查工作已在5月拉开序幕，将直到今年10月结束。目前多家机构正在紧锣密鼓地展开自查工作。范围涵盖各类银行、信托、财务公司、金融租赁、汽车金融和消费金融等有报送统计资料义务的银行和非银行机构。</w:t>
      </w:r>
    </w:p>
    <w:p w:rsidR="00121871" w:rsidRPr="00121871" w:rsidRDefault="007336A4" w:rsidP="00121871">
      <w:pPr>
        <w:pStyle w:val="a6"/>
        <w:shd w:val="clear" w:color="auto" w:fill="FFFFFF"/>
        <w:ind w:firstLineChars="200" w:firstLine="540"/>
        <w:rPr>
          <w:color w:val="333333"/>
          <w:sz w:val="27"/>
          <w:szCs w:val="27"/>
        </w:rPr>
      </w:pPr>
      <w:r>
        <w:rPr>
          <w:color w:val="333333"/>
          <w:sz w:val="27"/>
          <w:szCs w:val="27"/>
        </w:rPr>
        <w:t>3</w:t>
      </w:r>
      <w:r w:rsidR="00121871" w:rsidRPr="00121871">
        <w:rPr>
          <w:rFonts w:hint="eastAsia"/>
          <w:color w:val="333333"/>
          <w:sz w:val="27"/>
          <w:szCs w:val="27"/>
        </w:rPr>
        <w:t>、由国务院常务会议决定、中央财政发起、联合有意愿的金融机构共同设立的国家融资担保基金，首期募资不低于600亿元，采取股权投资、再担保等形式支持各省（区、市）开展融资担保业务。初步测算，今后3年基金累计可支持相关担保贷款5000亿元左右，约占现有全国融资担保业务的四分之一。浦发银行认缴金额为20亿元、华夏银行认缴出资金额为10亿元。</w:t>
      </w:r>
    </w:p>
    <w:p w:rsidR="00121871" w:rsidRPr="00121871" w:rsidRDefault="007336A4" w:rsidP="00121871">
      <w:pPr>
        <w:pStyle w:val="a6"/>
        <w:shd w:val="clear" w:color="auto" w:fill="FFFFFF"/>
        <w:ind w:firstLineChars="200" w:firstLine="540"/>
        <w:rPr>
          <w:color w:val="333333"/>
          <w:sz w:val="27"/>
          <w:szCs w:val="27"/>
        </w:rPr>
      </w:pPr>
      <w:r>
        <w:rPr>
          <w:color w:val="333333"/>
          <w:sz w:val="27"/>
          <w:szCs w:val="27"/>
        </w:rPr>
        <w:t>4</w:t>
      </w:r>
      <w:r w:rsidR="00121871" w:rsidRPr="00121871">
        <w:rPr>
          <w:rFonts w:hint="eastAsia"/>
          <w:color w:val="333333"/>
          <w:sz w:val="27"/>
          <w:szCs w:val="27"/>
        </w:rPr>
        <w:t>、近期各银行纷纷上调大额存单利率，幅度普遍较基准利率上浮40%至50%，部分城商行100万元起存的大额存单涨幅甚至达到55%，收益远高于同期定期存款。业内人士表示，商业银行集体上浮大额存单利率与监管层释放的政策信号有直接关系，也与银行揽储压力增加有关。</w:t>
      </w:r>
    </w:p>
    <w:p w:rsidR="00121871" w:rsidRPr="00121871" w:rsidRDefault="007336A4" w:rsidP="00121871">
      <w:pPr>
        <w:pStyle w:val="a6"/>
        <w:shd w:val="clear" w:color="auto" w:fill="FFFFFF"/>
        <w:ind w:firstLineChars="200" w:firstLine="540"/>
        <w:rPr>
          <w:color w:val="333333"/>
          <w:sz w:val="27"/>
          <w:szCs w:val="27"/>
        </w:rPr>
      </w:pPr>
      <w:r>
        <w:rPr>
          <w:color w:val="333333"/>
          <w:sz w:val="27"/>
          <w:szCs w:val="27"/>
        </w:rPr>
        <w:t>5</w:t>
      </w:r>
      <w:r w:rsidR="00121871" w:rsidRPr="00121871">
        <w:rPr>
          <w:rFonts w:hint="eastAsia"/>
          <w:color w:val="333333"/>
          <w:sz w:val="27"/>
          <w:szCs w:val="27"/>
        </w:rPr>
        <w:t>、5月22日，中国投资者网（www.investor.gov.cn）正式开通运行。投资者有了“一站式”获取知识、服务的官方平台。</w:t>
      </w:r>
    </w:p>
    <w:p w:rsidR="00121871" w:rsidRPr="00121871" w:rsidRDefault="007336A4" w:rsidP="00121871">
      <w:pPr>
        <w:pStyle w:val="a6"/>
        <w:shd w:val="clear" w:color="auto" w:fill="FFFFFF"/>
        <w:ind w:firstLineChars="200" w:firstLine="540"/>
        <w:rPr>
          <w:color w:val="333333"/>
          <w:sz w:val="27"/>
          <w:szCs w:val="27"/>
        </w:rPr>
      </w:pPr>
      <w:r>
        <w:rPr>
          <w:color w:val="333333"/>
          <w:sz w:val="27"/>
          <w:szCs w:val="27"/>
        </w:rPr>
        <w:lastRenderedPageBreak/>
        <w:t>6</w:t>
      </w:r>
      <w:r w:rsidR="00121871" w:rsidRPr="00121871">
        <w:rPr>
          <w:rFonts w:hint="eastAsia"/>
          <w:color w:val="333333"/>
          <w:sz w:val="27"/>
          <w:szCs w:val="27"/>
        </w:rPr>
        <w:t>、评级市场开放提速 标普、惠誉计划在中国境内独立运营。若两大外资机构递交申请并获批，将成为首批在中国境内独立运营的国际信用评级公司。</w:t>
      </w:r>
    </w:p>
    <w:p w:rsidR="00E44CC5" w:rsidRPr="00C429CE" w:rsidRDefault="007336A4" w:rsidP="00121871">
      <w:pPr>
        <w:pStyle w:val="a6"/>
        <w:shd w:val="clear" w:color="auto" w:fill="FFFFFF"/>
        <w:spacing w:before="0" w:beforeAutospacing="0" w:after="0" w:afterAutospacing="0"/>
        <w:ind w:firstLineChars="200" w:firstLine="540"/>
        <w:rPr>
          <w:color w:val="333333"/>
          <w:sz w:val="27"/>
          <w:szCs w:val="27"/>
        </w:rPr>
      </w:pPr>
      <w:r>
        <w:rPr>
          <w:color w:val="333333"/>
          <w:sz w:val="27"/>
          <w:szCs w:val="27"/>
        </w:rPr>
        <w:t>7</w:t>
      </w:r>
      <w:r w:rsidR="00121871" w:rsidRPr="00121871">
        <w:rPr>
          <w:rFonts w:hint="eastAsia"/>
          <w:color w:val="333333"/>
          <w:sz w:val="27"/>
          <w:szCs w:val="27"/>
        </w:rPr>
        <w:t>、市场机构统计显示，房地产行业整体负债率再创新高。2017年全年，136家上市房企平均负债率达到79.1%，为2005年以来的最高位。综合房地产上市公司一季报数据，截至2018年一季度末，房地产行业资产负债率仅次于银行和非银金融。一季度136家房地产开发企业中，有近40家公司资产负债率超过80%，占比接近26%，近一半企业资产负债率超过70%。2018年以来，房地产企业融资进入监管最严厉时期，各房企融资状况分化加剧，伴随金融监管加强，主动去杠杆成为房企控风险的重要策略。</w:t>
      </w:r>
    </w:p>
    <w:p w:rsidR="00E44CC5" w:rsidRDefault="00677BE7">
      <w:pPr>
        <w:pStyle w:val="1"/>
        <w:spacing w:before="0"/>
      </w:pPr>
      <w:bookmarkStart w:id="3" w:name="_Toc515834306"/>
      <w:r>
        <w:rPr>
          <w:rFonts w:hint="eastAsia"/>
        </w:rPr>
        <w:t>宏观新闻</w:t>
      </w:r>
      <w:bookmarkEnd w:id="3"/>
    </w:p>
    <w:p w:rsidR="002B271F" w:rsidRDefault="002B271F" w:rsidP="00BF158B">
      <w:pPr>
        <w:pStyle w:val="2"/>
        <w:spacing w:before="0"/>
      </w:pPr>
      <w:bookmarkStart w:id="4" w:name="_Toc515834307"/>
      <w:r w:rsidRPr="002B271F">
        <w:rPr>
          <w:rFonts w:hint="eastAsia"/>
        </w:rPr>
        <w:t>美联储加息预期强烈</w:t>
      </w:r>
      <w:r w:rsidRPr="002B271F">
        <w:rPr>
          <w:rFonts w:hint="eastAsia"/>
        </w:rPr>
        <w:t xml:space="preserve"> </w:t>
      </w:r>
      <w:r w:rsidRPr="002B271F">
        <w:rPr>
          <w:rFonts w:hint="eastAsia"/>
        </w:rPr>
        <w:t>新兴经济体将迎加息潮</w:t>
      </w:r>
      <w:bookmarkEnd w:id="4"/>
    </w:p>
    <w:p w:rsidR="002B271F" w:rsidRDefault="002B271F" w:rsidP="002B271F">
      <w:pPr>
        <w:pStyle w:val="a6"/>
        <w:shd w:val="clear" w:color="auto" w:fill="FFFFFF"/>
        <w:spacing w:before="0" w:beforeAutospacing="0" w:after="0" w:afterAutospacing="0"/>
        <w:ind w:firstLineChars="200" w:firstLine="540"/>
        <w:rPr>
          <w:color w:val="333333"/>
          <w:sz w:val="27"/>
          <w:szCs w:val="27"/>
        </w:rPr>
      </w:pPr>
      <w:r>
        <w:rPr>
          <w:rFonts w:hint="eastAsia"/>
          <w:color w:val="333333"/>
          <w:sz w:val="27"/>
          <w:szCs w:val="27"/>
        </w:rPr>
        <w:t>近日，一度表现抢眼的美元搅动了一众新兴经济体国家。迫不得已之下，他们纷纷选择上调利率。与此同时，美联储最新发布被称为“褐皮书”的全国经济形势调查报告，也再次增强了美联储在6月加息的预期。</w:t>
      </w:r>
    </w:p>
    <w:p w:rsidR="002B271F" w:rsidRDefault="002B271F" w:rsidP="002B271F">
      <w:pPr>
        <w:pStyle w:val="a6"/>
        <w:shd w:val="clear" w:color="auto" w:fill="FFFFFF"/>
        <w:spacing w:before="0" w:beforeAutospacing="0" w:after="0" w:afterAutospacing="0"/>
        <w:rPr>
          <w:color w:val="333333"/>
          <w:sz w:val="27"/>
          <w:szCs w:val="27"/>
        </w:rPr>
      </w:pPr>
      <w:r>
        <w:rPr>
          <w:rFonts w:hint="eastAsia"/>
          <w:color w:val="333333"/>
          <w:sz w:val="27"/>
          <w:szCs w:val="27"/>
        </w:rPr>
        <w:t xml:space="preserve">　　近段时间以来，阿根廷金融市场一度股债汇“三杀”，迫使阿根廷央行在6天里花费50亿美元干预汇市，更曾在10天时间里加息3次，从32.5%上调至40%。继阿根廷之后，土耳其是紧接其后“暴雷”的国家，土耳其央行紧急宣布将后期流动性窗口（LLW）贷款利率上调300个基点，从13.5%涨至16.5%。</w:t>
      </w:r>
    </w:p>
    <w:p w:rsidR="002B271F" w:rsidRDefault="002B271F" w:rsidP="002B271F">
      <w:pPr>
        <w:pStyle w:val="a6"/>
        <w:shd w:val="clear" w:color="auto" w:fill="FFFFFF"/>
        <w:spacing w:before="0" w:beforeAutospacing="0" w:after="0" w:afterAutospacing="0"/>
        <w:rPr>
          <w:color w:val="333333"/>
          <w:sz w:val="27"/>
          <w:szCs w:val="27"/>
        </w:rPr>
      </w:pPr>
      <w:r>
        <w:rPr>
          <w:rFonts w:hint="eastAsia"/>
          <w:color w:val="333333"/>
          <w:sz w:val="27"/>
          <w:szCs w:val="27"/>
        </w:rPr>
        <w:t xml:space="preserve">　　除了阿根廷和土耳其，印尼央行在两周内连续两次加息，把作为基准的7天回购利率从4.25%上调到4.75%，墨西哥央行也将基准利率从7%增加到7.25%。此外，巴西央行在连续12次降息之后宣布维持利率不变，这与市场预期大相径庭，也违背了巴西央行此前给出的政策指引。</w:t>
      </w:r>
    </w:p>
    <w:p w:rsidR="002B271F" w:rsidRDefault="002B271F" w:rsidP="002B271F">
      <w:pPr>
        <w:pStyle w:val="a6"/>
        <w:shd w:val="clear" w:color="auto" w:fill="FFFFFF"/>
        <w:spacing w:before="0" w:beforeAutospacing="0" w:after="0" w:afterAutospacing="0"/>
        <w:rPr>
          <w:color w:val="333333"/>
          <w:sz w:val="27"/>
          <w:szCs w:val="27"/>
        </w:rPr>
      </w:pPr>
      <w:r>
        <w:rPr>
          <w:rFonts w:hint="eastAsia"/>
          <w:color w:val="333333"/>
          <w:sz w:val="27"/>
          <w:szCs w:val="27"/>
        </w:rPr>
        <w:lastRenderedPageBreak/>
        <w:t xml:space="preserve">　　“许多新兴经济体央行正在通过提高利率来应对美元的升值。”布朗兄弟哈里曼新兴市场外汇策略部门全球负责人Win Thin如是说。有分析人士预计，或将有更多新兴市场国家央行加入加息大军，以此捍卫本国货币汇率，对抗升值的美元。</w:t>
      </w:r>
    </w:p>
    <w:p w:rsidR="002B271F" w:rsidRDefault="002B271F" w:rsidP="002B271F">
      <w:pPr>
        <w:pStyle w:val="a6"/>
        <w:shd w:val="clear" w:color="auto" w:fill="FFFFFF"/>
        <w:spacing w:before="0" w:beforeAutospacing="0" w:after="0" w:afterAutospacing="0"/>
        <w:rPr>
          <w:color w:val="333333"/>
          <w:sz w:val="27"/>
          <w:szCs w:val="27"/>
        </w:rPr>
      </w:pPr>
      <w:r>
        <w:rPr>
          <w:rFonts w:hint="eastAsia"/>
          <w:color w:val="333333"/>
          <w:sz w:val="27"/>
          <w:szCs w:val="27"/>
        </w:rPr>
        <w:t xml:space="preserve">　　在美元升值之际，美联储很大概率将在6月再次加息。美联储最新公布的“褐皮书”显示，今年4月底至5月初，美国经济继续温和扩张，制造业扩张明显提速。</w:t>
      </w:r>
    </w:p>
    <w:p w:rsidR="002B271F" w:rsidRDefault="002B271F" w:rsidP="002B271F">
      <w:pPr>
        <w:pStyle w:val="a6"/>
        <w:shd w:val="clear" w:color="auto" w:fill="FFFFFF"/>
        <w:spacing w:before="0" w:beforeAutospacing="0" w:after="0" w:afterAutospacing="0"/>
        <w:rPr>
          <w:color w:val="333333"/>
          <w:sz w:val="27"/>
          <w:szCs w:val="27"/>
        </w:rPr>
      </w:pPr>
      <w:r>
        <w:rPr>
          <w:rFonts w:hint="eastAsia"/>
          <w:color w:val="333333"/>
          <w:sz w:val="27"/>
          <w:szCs w:val="27"/>
        </w:rPr>
        <w:t xml:space="preserve">　　在报告中，美联储对经济增长的评估略有提升，整体制造业扩张明显提速，其中超过一半的辖区报告制造业活动回升，三分之一的辖区报告制造业活动强劲，特别是金属制品、重工业机械和电子设备等行业增长强劲。相比之下，美国居民消费开支较为疲软。不过，美国企业对近期美国经济增长前景普遍持乐观态度，但一些企业对国际贸易政策的不确定性表达了担忧，制造商担心美国与其贸易伙伴之间的紧张关系可能导致全球关税上调。</w:t>
      </w:r>
    </w:p>
    <w:p w:rsidR="002B271F" w:rsidRDefault="002B271F" w:rsidP="002B271F">
      <w:pPr>
        <w:pStyle w:val="a6"/>
        <w:shd w:val="clear" w:color="auto" w:fill="FFFFFF"/>
        <w:spacing w:before="0" w:beforeAutospacing="0" w:after="0" w:afterAutospacing="0"/>
        <w:rPr>
          <w:color w:val="333333"/>
          <w:sz w:val="27"/>
          <w:szCs w:val="27"/>
        </w:rPr>
      </w:pPr>
      <w:r>
        <w:rPr>
          <w:rFonts w:hint="eastAsia"/>
          <w:color w:val="333333"/>
          <w:sz w:val="27"/>
          <w:szCs w:val="27"/>
        </w:rPr>
        <w:t xml:space="preserve">　　美联储此前公布的5月货币政策例会纪要显示，如果未来经济数据大体上支持当前美国经济增长前景，美联储可能很快启动下次加息。分析人士认为，最新“褐皮书”报告预示着美联储在6月12日至13日的货币政策例会上再次加息可能性增加。</w:t>
      </w:r>
    </w:p>
    <w:p w:rsidR="002B271F" w:rsidRDefault="002B271F" w:rsidP="002B271F">
      <w:pPr>
        <w:pStyle w:val="a6"/>
        <w:shd w:val="clear" w:color="auto" w:fill="FFFFFF"/>
        <w:spacing w:before="0" w:beforeAutospacing="0" w:after="0" w:afterAutospacing="0"/>
        <w:rPr>
          <w:color w:val="333333"/>
          <w:sz w:val="27"/>
          <w:szCs w:val="27"/>
        </w:rPr>
      </w:pPr>
      <w:r>
        <w:rPr>
          <w:rFonts w:hint="eastAsia"/>
          <w:color w:val="333333"/>
          <w:sz w:val="27"/>
          <w:szCs w:val="27"/>
        </w:rPr>
        <w:t xml:space="preserve">　　自2015年12月启动本轮加息周期以来，美联储已加息6次，并开启缩减资产负债表计划，以逐步退出金融危机后出台的超宽松货币政策。</w:t>
      </w:r>
    </w:p>
    <w:p w:rsidR="002B271F" w:rsidRPr="002B271F" w:rsidRDefault="002B271F" w:rsidP="002B271F"/>
    <w:p w:rsidR="00BF158B" w:rsidRPr="00BF158B" w:rsidRDefault="00BF158B" w:rsidP="00BF158B">
      <w:pPr>
        <w:pStyle w:val="2"/>
        <w:spacing w:before="0"/>
      </w:pPr>
      <w:bookmarkStart w:id="5" w:name="_Toc515834308"/>
      <w:r w:rsidRPr="00BF158B">
        <w:t>意大利股债双杀</w:t>
      </w:r>
      <w:r w:rsidRPr="00BF158B">
        <w:t xml:space="preserve"> </w:t>
      </w:r>
      <w:r w:rsidRPr="00BF158B">
        <w:t>空头瞄准欧洲市场</w:t>
      </w:r>
      <w:bookmarkEnd w:id="5"/>
    </w:p>
    <w:p w:rsidR="00BF158B" w:rsidRDefault="00BF158B" w:rsidP="00BF158B">
      <w:pPr>
        <w:pStyle w:val="a6"/>
        <w:shd w:val="clear" w:color="auto" w:fill="FFFFFF"/>
        <w:spacing w:before="0" w:beforeAutospacing="0" w:after="0" w:afterAutospacing="0"/>
        <w:rPr>
          <w:color w:val="333333"/>
          <w:sz w:val="27"/>
          <w:szCs w:val="27"/>
        </w:rPr>
      </w:pPr>
      <w:r>
        <w:rPr>
          <w:rFonts w:hint="eastAsia"/>
          <w:color w:val="333333"/>
          <w:sz w:val="27"/>
          <w:szCs w:val="27"/>
        </w:rPr>
        <w:t xml:space="preserve">　  在上周日意大利新任总理朱塞佩·孔蒂确认放弃组阁，意大利国内的政局危机开始引起全球市场关注。据华尔街日报预计，上周有12亿美元资金介入意大利国债市场，准备做空。随着本周意大利，乃至整个欧洲市场出现股债双杀，更多空头势力开始瞄准欧洲市场。</w:t>
      </w:r>
    </w:p>
    <w:p w:rsidR="00BF158B" w:rsidRDefault="00BF158B" w:rsidP="00BF158B">
      <w:pPr>
        <w:pStyle w:val="a6"/>
        <w:shd w:val="clear" w:color="auto" w:fill="FFFFFF"/>
        <w:spacing w:before="0" w:beforeAutospacing="0" w:after="0" w:afterAutospacing="0"/>
        <w:rPr>
          <w:color w:val="333333"/>
          <w:sz w:val="27"/>
          <w:szCs w:val="27"/>
        </w:rPr>
      </w:pPr>
      <w:r>
        <w:rPr>
          <w:rFonts w:hint="eastAsia"/>
          <w:color w:val="333333"/>
          <w:sz w:val="27"/>
          <w:szCs w:val="27"/>
        </w:rPr>
        <w:t xml:space="preserve">　</w:t>
      </w:r>
      <w:r>
        <w:rPr>
          <w:rStyle w:val="a7"/>
          <w:rFonts w:hint="eastAsia"/>
          <w:color w:val="333333"/>
          <w:sz w:val="27"/>
          <w:szCs w:val="27"/>
        </w:rPr>
        <w:t xml:space="preserve">　意大利市场大幅波动</w:t>
      </w:r>
    </w:p>
    <w:p w:rsidR="00BF158B" w:rsidRDefault="00BF158B" w:rsidP="00BF158B">
      <w:pPr>
        <w:pStyle w:val="a6"/>
        <w:shd w:val="clear" w:color="auto" w:fill="FFFFFF"/>
        <w:spacing w:before="0" w:beforeAutospacing="0" w:after="0" w:afterAutospacing="0"/>
        <w:rPr>
          <w:color w:val="333333"/>
          <w:sz w:val="27"/>
          <w:szCs w:val="27"/>
        </w:rPr>
      </w:pPr>
      <w:r>
        <w:rPr>
          <w:rFonts w:hint="eastAsia"/>
          <w:color w:val="333333"/>
          <w:sz w:val="27"/>
          <w:szCs w:val="27"/>
        </w:rPr>
        <w:t xml:space="preserve">　　本周一，意大利就遭遇股债双杀，周二意大利股市和债券跌幅扩大，空方的力量顺势“引爆”了整个欧美的金融市场。意大利股指周二跌幅达2.89%，近一个月以来跌幅累计约10%，欧洲主要股指均大幅下跌。由于意大利的银行持有巨额意大利国债，银行股指数当日下跌超过</w:t>
      </w:r>
      <w:r>
        <w:rPr>
          <w:rFonts w:hint="eastAsia"/>
          <w:color w:val="333333"/>
          <w:sz w:val="27"/>
          <w:szCs w:val="27"/>
        </w:rPr>
        <w:lastRenderedPageBreak/>
        <w:t>5%，自5月15日以来累跌逾22%。5月30日盘中，欧洲主要股指有所企稳，意大利股指盘中反弹，欧元兑美元汇率也有所反弹。</w:t>
      </w:r>
    </w:p>
    <w:p w:rsidR="00BF158B" w:rsidRDefault="00BF158B" w:rsidP="00BF158B">
      <w:pPr>
        <w:pStyle w:val="a6"/>
        <w:shd w:val="clear" w:color="auto" w:fill="FFFFFF"/>
        <w:spacing w:before="0" w:beforeAutospacing="0" w:after="0" w:afterAutospacing="0"/>
        <w:rPr>
          <w:color w:val="333333"/>
          <w:sz w:val="27"/>
          <w:szCs w:val="27"/>
        </w:rPr>
      </w:pPr>
      <w:r>
        <w:rPr>
          <w:rFonts w:hint="eastAsia"/>
          <w:color w:val="333333"/>
          <w:sz w:val="27"/>
          <w:szCs w:val="27"/>
        </w:rPr>
        <w:t xml:space="preserve">　　此外，意大利国债价格也下跌。根据彭博报价系统，29日意大利10年期国债收益率猛涨17.88%。近一个月以来，这个收益率指标涨幅累计超过55%。</w:t>
      </w:r>
    </w:p>
    <w:p w:rsidR="00BF158B" w:rsidRDefault="00BF158B" w:rsidP="00BF158B">
      <w:pPr>
        <w:pStyle w:val="a6"/>
        <w:shd w:val="clear" w:color="auto" w:fill="FFFFFF"/>
        <w:spacing w:before="0" w:beforeAutospacing="0" w:after="0" w:afterAutospacing="0"/>
        <w:rPr>
          <w:color w:val="333333"/>
          <w:sz w:val="27"/>
          <w:szCs w:val="27"/>
        </w:rPr>
      </w:pPr>
      <w:r>
        <w:rPr>
          <w:rFonts w:hint="eastAsia"/>
          <w:color w:val="333333"/>
          <w:sz w:val="27"/>
          <w:szCs w:val="27"/>
        </w:rPr>
        <w:t xml:space="preserve">　　在汇率方面，意大利也“拖累”了欧元走势。29日，刚进入欧洲交易时段，欧元对美元的汇率大幅下跌，跌幅迅速超过100个基点。在意大利危机伤及全球投资者的时候，随着恐慌情绪加剧，全球避险资产则受到追捧。</w:t>
      </w:r>
    </w:p>
    <w:p w:rsidR="00BF158B" w:rsidRDefault="00BF158B" w:rsidP="00BF158B">
      <w:pPr>
        <w:pStyle w:val="a6"/>
        <w:shd w:val="clear" w:color="auto" w:fill="FFFFFF"/>
        <w:spacing w:before="0" w:beforeAutospacing="0" w:after="0" w:afterAutospacing="0"/>
        <w:rPr>
          <w:color w:val="333333"/>
          <w:sz w:val="27"/>
          <w:szCs w:val="27"/>
        </w:rPr>
      </w:pPr>
      <w:r>
        <w:rPr>
          <w:rFonts w:hint="eastAsia"/>
          <w:color w:val="333333"/>
          <w:sz w:val="27"/>
          <w:szCs w:val="27"/>
        </w:rPr>
        <w:t xml:space="preserve">　　法兴银行分析师在最新报告中表示，由于意大利的政治不确定性引发市场担忧，欧元兑美元跌至6个半月以来新低。但目前仍无法确定欧元何时能反弹。目前重新大选的可能性有所提高，但同时“意大利将离开欧元区”的担忧尚存。至少对跨境债权债务巨大的角度而言，意大利面临的危机是特殊的。</w:t>
      </w:r>
    </w:p>
    <w:p w:rsidR="00BF158B" w:rsidRDefault="00BF158B" w:rsidP="00BF158B">
      <w:pPr>
        <w:pStyle w:val="a6"/>
        <w:shd w:val="clear" w:color="auto" w:fill="FFFFFF"/>
        <w:spacing w:before="0" w:beforeAutospacing="0" w:after="0" w:afterAutospacing="0"/>
        <w:rPr>
          <w:color w:val="333333"/>
          <w:sz w:val="27"/>
          <w:szCs w:val="27"/>
        </w:rPr>
      </w:pPr>
      <w:r>
        <w:rPr>
          <w:rFonts w:hint="eastAsia"/>
          <w:color w:val="333333"/>
          <w:sz w:val="27"/>
          <w:szCs w:val="27"/>
        </w:rPr>
        <w:t xml:space="preserve">　</w:t>
      </w:r>
      <w:r>
        <w:rPr>
          <w:rStyle w:val="a7"/>
          <w:rFonts w:hint="eastAsia"/>
          <w:color w:val="333333"/>
          <w:sz w:val="27"/>
          <w:szCs w:val="27"/>
        </w:rPr>
        <w:t xml:space="preserve">　欧洲复苏步伐放缓</w:t>
      </w:r>
    </w:p>
    <w:p w:rsidR="00BF158B" w:rsidRDefault="00BF158B" w:rsidP="00BF158B">
      <w:pPr>
        <w:pStyle w:val="a6"/>
        <w:shd w:val="clear" w:color="auto" w:fill="FFFFFF"/>
        <w:spacing w:before="0" w:beforeAutospacing="0" w:after="0" w:afterAutospacing="0"/>
        <w:rPr>
          <w:color w:val="333333"/>
          <w:sz w:val="27"/>
          <w:szCs w:val="27"/>
        </w:rPr>
      </w:pPr>
      <w:r>
        <w:rPr>
          <w:rFonts w:hint="eastAsia"/>
          <w:color w:val="333333"/>
          <w:sz w:val="27"/>
          <w:szCs w:val="27"/>
        </w:rPr>
        <w:t xml:space="preserve">　　分析人士指出，从整个欧洲市场来看，尽管5月30日盘中主要资产价格有所反弹，但其金融市场长期反弹动能有所下降，主要由于欧洲经济复苏步伐暂缓。在美联储加息迎来正向预期的同时，欧洲复苏进程则遭遇了负向预期。2017年，得益于地缘政治风险的缓和，欧洲经济增长强劲。但是，2018年年初以来，欧洲经济复苏步伐呈现阶段性放缓。一方面，一季度宏观数据表现不佳。2018年一季度欧元区经济同比增速仅为2.5%，结束了2016年四季度以来逐季递增的趋势。5月欧元区制造业PMI指数仅为55.5，降至2017年2月以来最低水平。这与此前欧洲央行在《2018年春季经济预测》中的乐观估计形成鲜明对比，产生了大幅的预期落差。另一方面，地缘政治风险再度暗潮涌动。工银国际在最新研究报告中指出，意大利选举将成为今年欧洲政策不确定性再度上升的起点，并对欧元产生下行压力。5月24日以来，意大利民粹主义政府组阁一波三折，可能引发重新大选，并与西班牙的不信任投票形成共振。南欧政治危机的不断升级有望重燃“退欧”情绪，并可能阻碍欧元区结构性改革和财政纪律改善，进而加</w:t>
      </w:r>
      <w:r>
        <w:rPr>
          <w:rFonts w:hint="eastAsia"/>
          <w:color w:val="333333"/>
          <w:sz w:val="27"/>
          <w:szCs w:val="27"/>
        </w:rPr>
        <w:lastRenderedPageBreak/>
        <w:t>剧欧洲债务压力。在上述两大因素的冲击下，全球市场对欧洲复苏的预期由过度乐观转向过度悲观，叠加欧央行货币政策正常化的不确定性扩大，进而引致欧元走弱。</w:t>
      </w:r>
    </w:p>
    <w:p w:rsidR="00D55873" w:rsidRPr="00D55873" w:rsidRDefault="00D55873" w:rsidP="00D55873"/>
    <w:p w:rsidR="00D55873" w:rsidRPr="00D55873" w:rsidRDefault="00D55873" w:rsidP="00D55873"/>
    <w:p w:rsidR="00E44CC5" w:rsidRDefault="00677BE7">
      <w:pPr>
        <w:pStyle w:val="1"/>
        <w:spacing w:before="0"/>
      </w:pPr>
      <w:bookmarkStart w:id="6" w:name="_Toc515834309"/>
      <w:r>
        <w:t>监管</w:t>
      </w:r>
      <w:r>
        <w:rPr>
          <w:rFonts w:hint="eastAsia"/>
        </w:rPr>
        <w:t>动态</w:t>
      </w:r>
      <w:bookmarkEnd w:id="6"/>
    </w:p>
    <w:p w:rsidR="00E11A72" w:rsidRDefault="00E11A72" w:rsidP="00C421E9">
      <w:pPr>
        <w:pStyle w:val="2"/>
        <w:spacing w:before="0"/>
      </w:pPr>
      <w:bookmarkStart w:id="7" w:name="_Toc515834310"/>
      <w:r w:rsidRPr="00E11A72">
        <w:rPr>
          <w:rFonts w:hint="eastAsia"/>
        </w:rPr>
        <w:t>MLF</w:t>
      </w:r>
      <w:r w:rsidRPr="00E11A72">
        <w:rPr>
          <w:rFonts w:hint="eastAsia"/>
        </w:rPr>
        <w:t>担保品“扩围”</w:t>
      </w:r>
      <w:r w:rsidRPr="00E11A72">
        <w:rPr>
          <w:rFonts w:hint="eastAsia"/>
        </w:rPr>
        <w:t xml:space="preserve"> </w:t>
      </w:r>
      <w:r w:rsidRPr="00E11A72">
        <w:rPr>
          <w:rFonts w:hint="eastAsia"/>
        </w:rPr>
        <w:t>纳入</w:t>
      </w:r>
      <w:r w:rsidRPr="00E11A72">
        <w:rPr>
          <w:rFonts w:hint="eastAsia"/>
        </w:rPr>
        <w:t>AA</w:t>
      </w:r>
      <w:r w:rsidRPr="00E11A72">
        <w:rPr>
          <w:rFonts w:hint="eastAsia"/>
        </w:rPr>
        <w:t>级公司信用类债券</w:t>
      </w:r>
      <w:bookmarkEnd w:id="7"/>
    </w:p>
    <w:p w:rsidR="00E11A72" w:rsidRDefault="00E11A72" w:rsidP="00E11A72">
      <w:pPr>
        <w:pStyle w:val="a6"/>
        <w:shd w:val="clear" w:color="auto" w:fill="FFFFFF"/>
        <w:spacing w:before="0" w:beforeAutospacing="0" w:after="0" w:afterAutospacing="0"/>
        <w:ind w:firstLineChars="200" w:firstLine="540"/>
        <w:rPr>
          <w:color w:val="333333"/>
          <w:sz w:val="27"/>
          <w:szCs w:val="27"/>
        </w:rPr>
      </w:pPr>
      <w:r>
        <w:rPr>
          <w:rFonts w:hint="eastAsia"/>
          <w:color w:val="333333"/>
          <w:sz w:val="27"/>
          <w:szCs w:val="27"/>
        </w:rPr>
        <w:t>中国人民银行6月1日晚间宣布，适当扩大中期借贷便利（MLF）担保品范围。新纳入中期借贷便利担保品范围的有三类：不低于AA级的小微企业、绿色和“三农”金融债券，AA+、AA级公司信用类债券，优质的小微企业贷款和绿色贷款。</w:t>
      </w:r>
    </w:p>
    <w:p w:rsidR="00E11A72" w:rsidRDefault="00E11A72" w:rsidP="00E11A72">
      <w:pPr>
        <w:pStyle w:val="a6"/>
        <w:shd w:val="clear" w:color="auto" w:fill="FFFFFF"/>
        <w:spacing w:before="0" w:beforeAutospacing="0" w:after="0" w:afterAutospacing="0"/>
        <w:rPr>
          <w:color w:val="333333"/>
          <w:sz w:val="27"/>
          <w:szCs w:val="27"/>
        </w:rPr>
      </w:pPr>
      <w:r>
        <w:rPr>
          <w:rFonts w:hint="eastAsia"/>
          <w:color w:val="333333"/>
          <w:sz w:val="27"/>
          <w:szCs w:val="27"/>
        </w:rPr>
        <w:t xml:space="preserve">　　担保品“扩围”一举三得，既加大对小微企业、绿色经济等领域的支持力度，也可促进信用债市场健康发展，还能缓解部分金融机构高等级债券不足的问题。</w:t>
      </w:r>
    </w:p>
    <w:p w:rsidR="00E11A72" w:rsidRDefault="00E11A72" w:rsidP="00E11A72">
      <w:pPr>
        <w:pStyle w:val="a6"/>
        <w:shd w:val="clear" w:color="auto" w:fill="FFFFFF"/>
        <w:spacing w:before="0" w:beforeAutospacing="0" w:after="0" w:afterAutospacing="0"/>
        <w:rPr>
          <w:color w:val="333333"/>
          <w:sz w:val="27"/>
          <w:szCs w:val="27"/>
        </w:rPr>
      </w:pPr>
      <w:r>
        <w:rPr>
          <w:rFonts w:hint="eastAsia"/>
          <w:color w:val="333333"/>
          <w:sz w:val="27"/>
          <w:szCs w:val="27"/>
        </w:rPr>
        <w:t xml:space="preserve">　　据悉，中国人民银行将继续实施稳健中性的货币政策，保持流动性合理稳定，引导货币信贷和社会融资规模平稳适度增长。</w:t>
      </w:r>
    </w:p>
    <w:p w:rsidR="00E11A72" w:rsidRDefault="00E11A72" w:rsidP="00E11A72">
      <w:pPr>
        <w:pStyle w:val="a6"/>
        <w:shd w:val="clear" w:color="auto" w:fill="FFFFFF"/>
        <w:spacing w:before="0" w:beforeAutospacing="0" w:after="0" w:afterAutospacing="0"/>
        <w:rPr>
          <w:color w:val="333333"/>
          <w:sz w:val="27"/>
          <w:szCs w:val="27"/>
        </w:rPr>
      </w:pPr>
      <w:r>
        <w:rPr>
          <w:rStyle w:val="a7"/>
          <w:rFonts w:hint="eastAsia"/>
          <w:color w:val="333333"/>
          <w:sz w:val="27"/>
          <w:szCs w:val="27"/>
        </w:rPr>
        <w:t xml:space="preserve">　　“扩围”一举三得 促进信用债市场健康发展</w:t>
      </w:r>
    </w:p>
    <w:p w:rsidR="00E11A72" w:rsidRDefault="00E11A72" w:rsidP="00E11A72">
      <w:pPr>
        <w:pStyle w:val="a6"/>
        <w:shd w:val="clear" w:color="auto" w:fill="FFFFFF"/>
        <w:spacing w:before="0" w:beforeAutospacing="0" w:after="0" w:afterAutospacing="0"/>
        <w:rPr>
          <w:color w:val="333333"/>
          <w:sz w:val="27"/>
          <w:szCs w:val="27"/>
        </w:rPr>
      </w:pPr>
      <w:r>
        <w:rPr>
          <w:rFonts w:hint="eastAsia"/>
          <w:color w:val="333333"/>
          <w:sz w:val="27"/>
          <w:szCs w:val="27"/>
        </w:rPr>
        <w:t xml:space="preserve">　　此前，MLF操作接受国债、央行票据、国开行及政策性金融债、地方政府债券、AAA级公司信用类债券等作为担保品。</w:t>
      </w:r>
    </w:p>
    <w:p w:rsidR="00E11A72" w:rsidRDefault="00E11A72" w:rsidP="00E11A72">
      <w:pPr>
        <w:pStyle w:val="a6"/>
        <w:shd w:val="clear" w:color="auto" w:fill="FFFFFF"/>
        <w:spacing w:before="0" w:beforeAutospacing="0" w:after="0" w:afterAutospacing="0"/>
        <w:rPr>
          <w:color w:val="333333"/>
          <w:sz w:val="27"/>
          <w:szCs w:val="27"/>
        </w:rPr>
      </w:pPr>
      <w:r>
        <w:rPr>
          <w:rFonts w:hint="eastAsia"/>
          <w:color w:val="333333"/>
          <w:sz w:val="27"/>
          <w:szCs w:val="27"/>
        </w:rPr>
        <w:t xml:space="preserve">　　中国人民银行有关负责人解释，此次新增的担保品主要包括：一是不低于AA级的小微、绿色和“三农”金融债券；二是AA+、AA级公司信用类债券，包括企业债、中期票据、短期融资券等；三是优质的小微企业贷款和绿色贷款。</w:t>
      </w:r>
    </w:p>
    <w:p w:rsidR="00E11A72" w:rsidRDefault="00E11A72" w:rsidP="00E11A72">
      <w:pPr>
        <w:pStyle w:val="a6"/>
        <w:shd w:val="clear" w:color="auto" w:fill="FFFFFF"/>
        <w:spacing w:before="0" w:beforeAutospacing="0" w:after="0" w:afterAutospacing="0"/>
        <w:rPr>
          <w:color w:val="333333"/>
          <w:sz w:val="27"/>
          <w:szCs w:val="27"/>
        </w:rPr>
      </w:pPr>
      <w:r>
        <w:rPr>
          <w:rFonts w:hint="eastAsia"/>
          <w:color w:val="333333"/>
          <w:sz w:val="27"/>
          <w:szCs w:val="27"/>
        </w:rPr>
        <w:t xml:space="preserve">　　为何考虑扩大MLF担保品范围？上述负责人解释有三重考虑：</w:t>
      </w:r>
    </w:p>
    <w:p w:rsidR="00E11A72" w:rsidRDefault="00E11A72" w:rsidP="00E11A72">
      <w:pPr>
        <w:pStyle w:val="a6"/>
        <w:shd w:val="clear" w:color="auto" w:fill="FFFFFF"/>
        <w:spacing w:before="0" w:beforeAutospacing="0" w:after="0" w:afterAutospacing="0"/>
        <w:rPr>
          <w:color w:val="333333"/>
          <w:sz w:val="27"/>
          <w:szCs w:val="27"/>
        </w:rPr>
      </w:pPr>
      <w:r>
        <w:rPr>
          <w:rFonts w:hint="eastAsia"/>
          <w:color w:val="333333"/>
          <w:sz w:val="27"/>
          <w:szCs w:val="27"/>
        </w:rPr>
        <w:t xml:space="preserve">　　一是此次扩大MLF担保品范围，突出了小微企业债、绿色债以及小微企业贷款、绿色贷款并优先接受为担保品，有利于引导金融机构加大对小微企业、绿色经济等领域的支持力度，缓解小微企业融资难、融资贵问题。</w:t>
      </w:r>
    </w:p>
    <w:p w:rsidR="00E11A72" w:rsidRDefault="00E11A72" w:rsidP="00E11A72">
      <w:pPr>
        <w:pStyle w:val="a6"/>
        <w:shd w:val="clear" w:color="auto" w:fill="FFFFFF"/>
        <w:spacing w:before="0" w:beforeAutospacing="0" w:after="0" w:afterAutospacing="0"/>
        <w:rPr>
          <w:color w:val="333333"/>
          <w:sz w:val="27"/>
          <w:szCs w:val="27"/>
        </w:rPr>
      </w:pPr>
      <w:r>
        <w:rPr>
          <w:rFonts w:hint="eastAsia"/>
          <w:color w:val="333333"/>
          <w:sz w:val="27"/>
          <w:szCs w:val="27"/>
        </w:rPr>
        <w:lastRenderedPageBreak/>
        <w:t xml:space="preserve">　　二是在公司信用类债券方面，从以前只接受最高等级的AAA级债券扩大到接受AA+、AA级债券，有利于平等对待各类发债主体，促进信用债市场健康发展。</w:t>
      </w:r>
    </w:p>
    <w:p w:rsidR="00E11A72" w:rsidRDefault="00E11A72" w:rsidP="00E11A72">
      <w:pPr>
        <w:pStyle w:val="a6"/>
        <w:shd w:val="clear" w:color="auto" w:fill="FFFFFF"/>
        <w:spacing w:before="0" w:beforeAutospacing="0" w:after="0" w:afterAutospacing="0"/>
        <w:rPr>
          <w:color w:val="333333"/>
          <w:sz w:val="27"/>
          <w:szCs w:val="27"/>
        </w:rPr>
      </w:pPr>
      <w:r>
        <w:rPr>
          <w:rFonts w:hint="eastAsia"/>
          <w:color w:val="333333"/>
          <w:sz w:val="27"/>
          <w:szCs w:val="27"/>
        </w:rPr>
        <w:t xml:space="preserve">　　三是增加了AA+、AA级信用债以及小微企业贷款、绿色贷款作为MLF担保品，可以在一定程度上缓解部分金融机构高等级债券不足的问题。</w:t>
      </w:r>
    </w:p>
    <w:p w:rsidR="00E11A72" w:rsidRDefault="00E11A72" w:rsidP="00E11A72">
      <w:pPr>
        <w:pStyle w:val="a6"/>
        <w:shd w:val="clear" w:color="auto" w:fill="FFFFFF"/>
        <w:spacing w:before="0" w:beforeAutospacing="0" w:after="0" w:afterAutospacing="0"/>
        <w:rPr>
          <w:color w:val="333333"/>
          <w:sz w:val="27"/>
          <w:szCs w:val="27"/>
        </w:rPr>
      </w:pPr>
      <w:r>
        <w:rPr>
          <w:rStyle w:val="a7"/>
          <w:rFonts w:hint="eastAsia"/>
          <w:color w:val="333333"/>
          <w:sz w:val="27"/>
          <w:szCs w:val="27"/>
        </w:rPr>
        <w:t xml:space="preserve">　　“扩围”不意味宽松 货币政策仍将稳健中性</w:t>
      </w:r>
    </w:p>
    <w:p w:rsidR="00E11A72" w:rsidRDefault="00E11A72" w:rsidP="00E11A72">
      <w:pPr>
        <w:pStyle w:val="a6"/>
        <w:shd w:val="clear" w:color="auto" w:fill="FFFFFF"/>
        <w:spacing w:before="0" w:beforeAutospacing="0" w:after="0" w:afterAutospacing="0"/>
        <w:rPr>
          <w:color w:val="333333"/>
          <w:sz w:val="27"/>
          <w:szCs w:val="27"/>
        </w:rPr>
      </w:pPr>
      <w:r>
        <w:rPr>
          <w:rFonts w:hint="eastAsia"/>
          <w:color w:val="333333"/>
          <w:sz w:val="27"/>
          <w:szCs w:val="27"/>
        </w:rPr>
        <w:t xml:space="preserve">　　“担保品增加并不是全面宽松的政策，而是一个促使中国经济结构调整迈向高质量发展的政策举措。”兴业银行首席经济学家鲁政委接受上证报记者采访时表示，其中“三农”金融债指向精准扶贫，绿色债券指向污染防治，同时又保障了经济平稳降杠杆，货币政策基调保持稳健中性。</w:t>
      </w:r>
    </w:p>
    <w:p w:rsidR="00E11A72" w:rsidRDefault="00E11A72" w:rsidP="00E11A72">
      <w:pPr>
        <w:pStyle w:val="a6"/>
        <w:shd w:val="clear" w:color="auto" w:fill="FFFFFF"/>
        <w:spacing w:before="0" w:beforeAutospacing="0" w:after="0" w:afterAutospacing="0"/>
        <w:rPr>
          <w:color w:val="333333"/>
          <w:sz w:val="27"/>
          <w:szCs w:val="27"/>
        </w:rPr>
      </w:pPr>
      <w:r>
        <w:rPr>
          <w:rFonts w:hint="eastAsia"/>
          <w:color w:val="333333"/>
          <w:sz w:val="27"/>
          <w:szCs w:val="27"/>
        </w:rPr>
        <w:t xml:space="preserve">　　中国人民银行也指出，将继续实施稳健中性的货币政策，保持流动性合理稳定，引导货币信贷和社会融资规模平稳适度增长，为高质量发展和供给侧结构性改革营造适宜的货币金融环境。</w:t>
      </w:r>
    </w:p>
    <w:p w:rsidR="00E11A72" w:rsidRDefault="00E11A72" w:rsidP="00E11A72">
      <w:pPr>
        <w:pStyle w:val="a6"/>
        <w:shd w:val="clear" w:color="auto" w:fill="FFFFFF"/>
        <w:spacing w:before="0" w:beforeAutospacing="0" w:after="0" w:afterAutospacing="0"/>
        <w:rPr>
          <w:color w:val="333333"/>
          <w:sz w:val="27"/>
          <w:szCs w:val="27"/>
        </w:rPr>
      </w:pPr>
      <w:r>
        <w:rPr>
          <w:rFonts w:hint="eastAsia"/>
          <w:color w:val="333333"/>
          <w:sz w:val="27"/>
          <w:szCs w:val="27"/>
        </w:rPr>
        <w:t xml:space="preserve">　　鲁政委认为，这次纳入的是不低于AA级的债券，实际上我国绝大部分发行的债券都在AA级以上，拿这些债券向央行抵押获得的资金可以用来支持小微、三农、绿色企业融资，使得这些企业的融资得到有效恢复，有助于市场保持平稳。</w:t>
      </w:r>
    </w:p>
    <w:p w:rsidR="00E11A72" w:rsidRDefault="00E11A72" w:rsidP="00E11A72">
      <w:pPr>
        <w:pStyle w:val="a6"/>
        <w:shd w:val="clear" w:color="auto" w:fill="FFFFFF"/>
        <w:spacing w:before="0" w:beforeAutospacing="0" w:after="0" w:afterAutospacing="0"/>
        <w:rPr>
          <w:color w:val="333333"/>
          <w:sz w:val="27"/>
          <w:szCs w:val="27"/>
        </w:rPr>
      </w:pPr>
      <w:r>
        <w:rPr>
          <w:rFonts w:hint="eastAsia"/>
          <w:color w:val="333333"/>
          <w:sz w:val="27"/>
          <w:szCs w:val="27"/>
        </w:rPr>
        <w:t xml:space="preserve">　　央行最新公布的数据显示，为维护银行体系流动性合理稳定，结合金融机构流动性需求，5月人民银行对金融机构开展MLF操作共1560亿元，期限1年，利率为3.30%。5月末MLF余额为40170亿元。</w:t>
      </w:r>
    </w:p>
    <w:p w:rsidR="00E11A72" w:rsidRDefault="00E11A72" w:rsidP="00E11A72">
      <w:pPr>
        <w:pStyle w:val="a6"/>
        <w:shd w:val="clear" w:color="auto" w:fill="FFFFFF"/>
        <w:spacing w:before="0" w:beforeAutospacing="0" w:after="0" w:afterAutospacing="0"/>
        <w:rPr>
          <w:color w:val="333333"/>
          <w:sz w:val="27"/>
          <w:szCs w:val="27"/>
        </w:rPr>
      </w:pPr>
      <w:r>
        <w:rPr>
          <w:rFonts w:hint="eastAsia"/>
          <w:color w:val="333333"/>
          <w:sz w:val="27"/>
          <w:szCs w:val="27"/>
        </w:rPr>
        <w:t xml:space="preserve">　　MLF于2014年9月创设，是中央银行提供中期基础货币的货币政策工具，对象为符合宏观审慎管理要求的商业银行、政策性银行，可通过招标方式开展。MLF采取质押方式发放，金融机构提供符合条件的债券作为合格质押品。</w:t>
      </w:r>
    </w:p>
    <w:p w:rsidR="00E11A72" w:rsidRDefault="00E11A72" w:rsidP="00E11A72">
      <w:pPr>
        <w:pStyle w:val="a6"/>
        <w:shd w:val="clear" w:color="auto" w:fill="FFFFFF"/>
        <w:spacing w:before="0" w:beforeAutospacing="0" w:after="0" w:afterAutospacing="0"/>
        <w:rPr>
          <w:color w:val="333333"/>
          <w:sz w:val="27"/>
          <w:szCs w:val="27"/>
        </w:rPr>
      </w:pPr>
      <w:r>
        <w:rPr>
          <w:rFonts w:hint="eastAsia"/>
          <w:color w:val="333333"/>
          <w:sz w:val="27"/>
          <w:szCs w:val="27"/>
        </w:rPr>
        <w:t xml:space="preserve">　　过去数年，MLF发挥了中期政策利率的作用，通过调节向金融机构中期融资的成本来对金融机构的资产负债表和市场预期产生影响，引导其向符合国家政策导向的实体经济部门提供低成本资金，促进降低社会融资成本。</w:t>
      </w:r>
    </w:p>
    <w:p w:rsidR="00E11A72" w:rsidRPr="00E11A72" w:rsidRDefault="00E11A72" w:rsidP="00E11A72"/>
    <w:p w:rsidR="00132BD3" w:rsidRDefault="00132BD3" w:rsidP="00C421E9">
      <w:pPr>
        <w:pStyle w:val="2"/>
        <w:spacing w:before="0"/>
      </w:pPr>
      <w:bookmarkStart w:id="8" w:name="_Toc515834311"/>
      <w:r w:rsidRPr="00132BD3">
        <w:rPr>
          <w:rFonts w:hint="eastAsia"/>
        </w:rPr>
        <w:lastRenderedPageBreak/>
        <w:t>场外期权业务新规发布</w:t>
      </w:r>
      <w:r w:rsidRPr="00132BD3">
        <w:rPr>
          <w:rFonts w:hint="eastAsia"/>
        </w:rPr>
        <w:t xml:space="preserve"> </w:t>
      </w:r>
      <w:r w:rsidRPr="00132BD3">
        <w:rPr>
          <w:rFonts w:hint="eastAsia"/>
        </w:rPr>
        <w:t>证券公司将实行分类管理</w:t>
      </w:r>
      <w:bookmarkEnd w:id="8"/>
    </w:p>
    <w:p w:rsidR="00C10839" w:rsidRDefault="00C10839" w:rsidP="00C10839">
      <w:pPr>
        <w:pStyle w:val="a6"/>
        <w:shd w:val="clear" w:color="auto" w:fill="FFFFFF"/>
        <w:spacing w:before="0" w:beforeAutospacing="0" w:after="0" w:afterAutospacing="0"/>
        <w:ind w:firstLineChars="200" w:firstLine="540"/>
        <w:rPr>
          <w:color w:val="333333"/>
          <w:sz w:val="27"/>
          <w:szCs w:val="27"/>
        </w:rPr>
      </w:pPr>
      <w:r>
        <w:rPr>
          <w:rFonts w:hint="eastAsia"/>
          <w:color w:val="333333"/>
          <w:sz w:val="27"/>
          <w:szCs w:val="27"/>
        </w:rPr>
        <w:t>近日，证券业协会发布《关于进一步加强证券公司场外期权业务自律管理的通知》（下称《通知》），强化场外期权业务自律管理。《通知》内容包括对券商采用分层管理，明确场外期权标的以及违规惩戒事项等。《通知》自5月28日起生效。</w:t>
      </w:r>
    </w:p>
    <w:p w:rsidR="00C10839" w:rsidRDefault="00C10839" w:rsidP="00C10839">
      <w:pPr>
        <w:pStyle w:val="a6"/>
        <w:shd w:val="clear" w:color="auto" w:fill="FFFFFF"/>
        <w:spacing w:before="0" w:beforeAutospacing="0" w:after="0" w:afterAutospacing="0"/>
        <w:rPr>
          <w:color w:val="333333"/>
          <w:sz w:val="27"/>
          <w:szCs w:val="27"/>
        </w:rPr>
      </w:pPr>
      <w:r>
        <w:rPr>
          <w:rFonts w:hint="eastAsia"/>
          <w:color w:val="333333"/>
          <w:sz w:val="27"/>
          <w:szCs w:val="27"/>
        </w:rPr>
        <w:t xml:space="preserve">　　根据《通知》，证券公司开展场外期权业务，分为一级交易商和二级交易商。最近一年分类评级在A类AA级以上的证券公司，经中国证监会认可，可以成为一级交易商；最近一年分类评级在A类A级以上的证券公司，经中国证券业协会（以下简称协会）备案，可以成为二级交易商。未能成为交易商的证券公司不得与客户开展场外期权业务。</w:t>
      </w:r>
    </w:p>
    <w:p w:rsidR="00C10839" w:rsidRDefault="00C10839" w:rsidP="00C10839">
      <w:pPr>
        <w:pStyle w:val="a6"/>
        <w:shd w:val="clear" w:color="auto" w:fill="FFFFFF"/>
        <w:spacing w:before="0" w:beforeAutospacing="0" w:after="0" w:afterAutospacing="0"/>
        <w:rPr>
          <w:color w:val="333333"/>
          <w:sz w:val="27"/>
          <w:szCs w:val="27"/>
        </w:rPr>
      </w:pPr>
      <w:r>
        <w:rPr>
          <w:rFonts w:hint="eastAsia"/>
          <w:color w:val="333333"/>
          <w:sz w:val="27"/>
          <w:szCs w:val="27"/>
        </w:rPr>
        <w:t xml:space="preserve">　　交易商分级制度下，一级交易商可以在沪深证券交易所开立场内个股对冲交易专用账户，直接开展对冲交易。二级交易商仅能与一级交易商进行个股对冲交易，不得自行或与一级交易商之外的交易对手开展场内个股对冲交易。</w:t>
      </w:r>
    </w:p>
    <w:p w:rsidR="00C10839" w:rsidRDefault="00C10839" w:rsidP="00C10839">
      <w:pPr>
        <w:pStyle w:val="a6"/>
        <w:shd w:val="clear" w:color="auto" w:fill="FFFFFF"/>
        <w:spacing w:before="0" w:beforeAutospacing="0" w:after="0" w:afterAutospacing="0"/>
        <w:rPr>
          <w:color w:val="333333"/>
          <w:sz w:val="27"/>
          <w:szCs w:val="27"/>
        </w:rPr>
      </w:pPr>
      <w:r>
        <w:rPr>
          <w:rFonts w:hint="eastAsia"/>
          <w:color w:val="333333"/>
          <w:sz w:val="27"/>
          <w:szCs w:val="27"/>
        </w:rPr>
        <w:t xml:space="preserve">　　根据梳理，最近一年分类评级在A类AA级以上的券商有11家，分别为国泰君安、申万宏源、海通证券、华融证券、银河证券、华泰证券、招商证券、中金公司、广发证券、中信建投和中信证券。</w:t>
      </w:r>
    </w:p>
    <w:p w:rsidR="00C10839" w:rsidRDefault="00C10839" w:rsidP="00C10839">
      <w:pPr>
        <w:pStyle w:val="a6"/>
        <w:shd w:val="clear" w:color="auto" w:fill="FFFFFF"/>
        <w:spacing w:before="0" w:beforeAutospacing="0" w:after="0" w:afterAutospacing="0"/>
        <w:rPr>
          <w:color w:val="333333"/>
          <w:sz w:val="27"/>
          <w:szCs w:val="27"/>
        </w:rPr>
      </w:pPr>
      <w:r>
        <w:rPr>
          <w:rFonts w:hint="eastAsia"/>
          <w:color w:val="333333"/>
          <w:sz w:val="27"/>
          <w:szCs w:val="27"/>
        </w:rPr>
        <w:t xml:space="preserve">　　国信证券非银分析师认为，新规对券商参与场外期权交易实施分层管理，将创设的权利集中到了行业内少数头部券商，龙头券商优势显现。</w:t>
      </w:r>
    </w:p>
    <w:p w:rsidR="00C10839" w:rsidRDefault="00C10839" w:rsidP="00C10839">
      <w:pPr>
        <w:pStyle w:val="a6"/>
        <w:shd w:val="clear" w:color="auto" w:fill="FFFFFF"/>
        <w:spacing w:before="0" w:beforeAutospacing="0" w:after="0" w:afterAutospacing="0"/>
        <w:rPr>
          <w:color w:val="333333"/>
          <w:sz w:val="27"/>
          <w:szCs w:val="27"/>
        </w:rPr>
      </w:pPr>
      <w:r>
        <w:rPr>
          <w:rFonts w:hint="eastAsia"/>
          <w:color w:val="333333"/>
          <w:sz w:val="27"/>
          <w:szCs w:val="27"/>
        </w:rPr>
        <w:t xml:space="preserve">　　标的管理方面，协会对证券公司场外期权业务交易标的、对冲标的实行自律管理。交易商可以开展以符合规定条件的个股、股票指数、大宗商品等资产为合约标的的场外期权业务。</w:t>
      </w:r>
    </w:p>
    <w:p w:rsidR="00C10839" w:rsidRDefault="00C10839" w:rsidP="00C10839">
      <w:pPr>
        <w:pStyle w:val="a6"/>
        <w:shd w:val="clear" w:color="auto" w:fill="FFFFFF"/>
        <w:spacing w:before="0" w:beforeAutospacing="0" w:after="0" w:afterAutospacing="0"/>
        <w:rPr>
          <w:color w:val="333333"/>
          <w:sz w:val="27"/>
          <w:szCs w:val="27"/>
        </w:rPr>
      </w:pPr>
      <w:r>
        <w:rPr>
          <w:rFonts w:hint="eastAsia"/>
          <w:color w:val="333333"/>
          <w:sz w:val="27"/>
          <w:szCs w:val="27"/>
        </w:rPr>
        <w:t xml:space="preserve">　　协会表示，场外期权业务境内个股标的应当是上证180指数、上证380指数、深证成分指数、深圳中小创新指数的成分股或者A+H股上市公司在沪深交易所上市的A股，同时符合在沪深交易所上市交易超过6个月、非ST和*ST股票、流通市值不低于人民币50亿元等条件。</w:t>
      </w:r>
    </w:p>
    <w:p w:rsidR="00C10839" w:rsidRDefault="00C10839" w:rsidP="00C10839">
      <w:pPr>
        <w:pStyle w:val="a6"/>
        <w:shd w:val="clear" w:color="auto" w:fill="FFFFFF"/>
        <w:spacing w:before="0" w:beforeAutospacing="0" w:after="0" w:afterAutospacing="0"/>
        <w:rPr>
          <w:color w:val="333333"/>
          <w:sz w:val="27"/>
          <w:szCs w:val="27"/>
        </w:rPr>
      </w:pPr>
      <w:r>
        <w:rPr>
          <w:rFonts w:hint="eastAsia"/>
          <w:color w:val="333333"/>
          <w:sz w:val="27"/>
          <w:szCs w:val="27"/>
        </w:rPr>
        <w:t xml:space="preserve">　　场外期权境业务内股票指数应为经权威机构认可、具有指数编制及发布权限的机构发布的指数，同时指数具有可投资性且流动性良好，指数计算发布应由第三方机构独立管理。</w:t>
      </w:r>
    </w:p>
    <w:p w:rsidR="00C10839" w:rsidRDefault="00C10839" w:rsidP="00C10839">
      <w:pPr>
        <w:pStyle w:val="a6"/>
        <w:shd w:val="clear" w:color="auto" w:fill="FFFFFF"/>
        <w:spacing w:before="0" w:beforeAutospacing="0" w:after="0" w:afterAutospacing="0"/>
        <w:rPr>
          <w:color w:val="333333"/>
          <w:sz w:val="27"/>
          <w:szCs w:val="27"/>
        </w:rPr>
      </w:pPr>
      <w:r>
        <w:rPr>
          <w:rFonts w:hint="eastAsia"/>
          <w:color w:val="333333"/>
          <w:sz w:val="27"/>
          <w:szCs w:val="27"/>
        </w:rPr>
        <w:lastRenderedPageBreak/>
        <w:t xml:space="preserve">　　此外，《通知》要求，交易商及协会认定的场外期权业务重要交易对手（以下统称报送机构）应当定期向协会报送规定的场外期权业务信息。业务信息包括但不限于在SAC、NAFMII、ISDA等主协议项下的场外期权业务信息。业务信息应当由报送机构按规定报送至场外证券业务报告系统。</w:t>
      </w:r>
    </w:p>
    <w:p w:rsidR="00C10839" w:rsidRDefault="00C10839" w:rsidP="00C10839">
      <w:pPr>
        <w:pStyle w:val="a6"/>
        <w:shd w:val="clear" w:color="auto" w:fill="FFFFFF"/>
        <w:spacing w:before="0" w:beforeAutospacing="0" w:after="0" w:afterAutospacing="0"/>
        <w:rPr>
          <w:color w:val="333333"/>
          <w:sz w:val="27"/>
          <w:szCs w:val="27"/>
        </w:rPr>
      </w:pPr>
      <w:r>
        <w:rPr>
          <w:rFonts w:hint="eastAsia"/>
          <w:color w:val="333333"/>
          <w:sz w:val="27"/>
          <w:szCs w:val="27"/>
        </w:rPr>
        <w:t xml:space="preserve">　　协会表示，交易商未按要求报送业务信息、影响监测监控情形的，协会依据《中国证券业协会自律管理措施和纪律处分实施办法》采取自律惩戒措施；情节严重的，移送证监会查处。</w:t>
      </w:r>
    </w:p>
    <w:p w:rsidR="00132BD3" w:rsidRPr="00C10839" w:rsidRDefault="00132BD3" w:rsidP="00132BD3"/>
    <w:p w:rsidR="00FE50D8" w:rsidRDefault="00FE50D8" w:rsidP="00C421E9">
      <w:pPr>
        <w:pStyle w:val="2"/>
        <w:spacing w:before="0"/>
      </w:pPr>
      <w:bookmarkStart w:id="9" w:name="_Toc515834312"/>
      <w:r w:rsidRPr="00FE50D8">
        <w:rPr>
          <w:rFonts w:hint="eastAsia"/>
        </w:rPr>
        <w:t>抑制企业多头和过度融资</w:t>
      </w:r>
      <w:r w:rsidRPr="00FE50D8">
        <w:rPr>
          <w:rFonts w:hint="eastAsia"/>
        </w:rPr>
        <w:t xml:space="preserve"> </w:t>
      </w:r>
      <w:r w:rsidRPr="00FE50D8">
        <w:rPr>
          <w:rFonts w:hint="eastAsia"/>
        </w:rPr>
        <w:t>银保监会规范银行业金融机构联合授信管理</w:t>
      </w:r>
      <w:bookmarkEnd w:id="9"/>
    </w:p>
    <w:p w:rsidR="00FE50D8" w:rsidRDefault="00FE50D8" w:rsidP="00FE50D8">
      <w:pPr>
        <w:pStyle w:val="a6"/>
        <w:shd w:val="clear" w:color="auto" w:fill="FFFFFF"/>
        <w:spacing w:before="0" w:beforeAutospacing="0" w:after="0" w:afterAutospacing="0"/>
        <w:ind w:firstLineChars="200" w:firstLine="540"/>
        <w:rPr>
          <w:color w:val="333333"/>
          <w:sz w:val="27"/>
          <w:szCs w:val="27"/>
        </w:rPr>
      </w:pPr>
      <w:r>
        <w:rPr>
          <w:rFonts w:hint="eastAsia"/>
          <w:color w:val="333333"/>
          <w:sz w:val="27"/>
          <w:szCs w:val="27"/>
        </w:rPr>
        <w:t>中国证券网讯 为抑制多头融资、过度融资行为，有效防控重大信用风险，中国银行保险监督管理委员会1日印发《银行业金融机构联合授信管理办法（试行）》（下称《办法》），并部署开展试点工作。</w:t>
      </w:r>
    </w:p>
    <w:p w:rsidR="00FE50D8" w:rsidRDefault="00FE50D8" w:rsidP="00FE50D8">
      <w:pPr>
        <w:pStyle w:val="a6"/>
        <w:shd w:val="clear" w:color="auto" w:fill="FFFFFF"/>
        <w:spacing w:before="0" w:beforeAutospacing="0" w:after="0" w:afterAutospacing="0"/>
        <w:rPr>
          <w:color w:val="333333"/>
          <w:sz w:val="27"/>
          <w:szCs w:val="27"/>
        </w:rPr>
      </w:pPr>
      <w:r>
        <w:rPr>
          <w:rFonts w:hint="eastAsia"/>
          <w:color w:val="333333"/>
          <w:sz w:val="27"/>
          <w:szCs w:val="27"/>
        </w:rPr>
        <w:t xml:space="preserve">　　《办法》共42条，分为六章，明确了联合授信机制目标、适用范围和基本工作原则；建立了成员银行协议、银企协议、联席会议制度等运作管理框架；明确了信息共享、联合授信额度管理和融资台账管理等风险防控机制；确立了企业进入风险预警状态后，银行业金融机构的风险应对和处置机制；明确了对违规企业和违规银行业金融机构的惩戒措施。</w:t>
      </w:r>
    </w:p>
    <w:p w:rsidR="00FE50D8" w:rsidRDefault="00FE50D8" w:rsidP="00FE50D8">
      <w:pPr>
        <w:pStyle w:val="a6"/>
        <w:shd w:val="clear" w:color="auto" w:fill="FFFFFF"/>
        <w:spacing w:before="0" w:beforeAutospacing="0" w:after="0" w:afterAutospacing="0"/>
        <w:rPr>
          <w:color w:val="333333"/>
          <w:sz w:val="27"/>
          <w:szCs w:val="27"/>
        </w:rPr>
      </w:pPr>
      <w:r>
        <w:rPr>
          <w:rFonts w:hint="eastAsia"/>
          <w:color w:val="333333"/>
          <w:sz w:val="27"/>
          <w:szCs w:val="27"/>
        </w:rPr>
        <w:t xml:space="preserve">　　根据《办法》，联合授信机制的主要目标是，防范企业重大信用风险事件。适用对象为，债权人数量多、债务规模大、外部风险影响广的大中型企业。依据在银行业的融资余额和债权银行业金融机构数量两个指标，《办法》确定了应建立联合授信机制的企业范围。</w:t>
      </w:r>
    </w:p>
    <w:p w:rsidR="00FE50D8" w:rsidRDefault="00FE50D8" w:rsidP="00FE50D8">
      <w:pPr>
        <w:pStyle w:val="a6"/>
        <w:shd w:val="clear" w:color="auto" w:fill="FFFFFF"/>
        <w:spacing w:before="0" w:beforeAutospacing="0" w:after="0" w:afterAutospacing="0"/>
        <w:rPr>
          <w:color w:val="333333"/>
          <w:sz w:val="27"/>
          <w:szCs w:val="27"/>
        </w:rPr>
      </w:pPr>
      <w:r>
        <w:rPr>
          <w:rFonts w:hint="eastAsia"/>
          <w:color w:val="333333"/>
          <w:sz w:val="27"/>
          <w:szCs w:val="27"/>
        </w:rPr>
        <w:t xml:space="preserve">　　具体而言，在3家以上银行业金融机构有融资余额，且融资余额合计在50亿元以上的企业，银行业金融机构应建立联合授信机制。对在3家以上的银行业金融机构有融资余额，且融资余额合计在20亿元至50亿元之间的企业，银行业金融机构可自愿建立联合授信机制。</w:t>
      </w:r>
    </w:p>
    <w:p w:rsidR="00FE50D8" w:rsidRDefault="00FE50D8" w:rsidP="00FE50D8">
      <w:pPr>
        <w:pStyle w:val="a6"/>
        <w:shd w:val="clear" w:color="auto" w:fill="FFFFFF"/>
        <w:spacing w:before="0" w:beforeAutospacing="0" w:after="0" w:afterAutospacing="0"/>
        <w:rPr>
          <w:color w:val="333333"/>
          <w:sz w:val="27"/>
          <w:szCs w:val="27"/>
        </w:rPr>
      </w:pPr>
      <w:r>
        <w:rPr>
          <w:rFonts w:hint="eastAsia"/>
          <w:color w:val="333333"/>
          <w:sz w:val="27"/>
          <w:szCs w:val="27"/>
        </w:rPr>
        <w:lastRenderedPageBreak/>
        <w:t xml:space="preserve">　　联合授信机制的运作机制，一是协商确定联合授信额度。联合授信委员会根据企业经营和财务情况测算其承债能力，与企业协商一致后共同确认联合授信额度，企业在额度内享有自主融资的权利。联合授信额度包括企业在银行业金融机构、非银行业金融机构、其他渠道的债务融资，以及对集团外企业的担保。</w:t>
      </w:r>
    </w:p>
    <w:p w:rsidR="00FE50D8" w:rsidRDefault="00FE50D8" w:rsidP="00FE50D8">
      <w:pPr>
        <w:pStyle w:val="a6"/>
        <w:shd w:val="clear" w:color="auto" w:fill="FFFFFF"/>
        <w:spacing w:before="0" w:beforeAutospacing="0" w:after="0" w:afterAutospacing="0"/>
        <w:rPr>
          <w:color w:val="333333"/>
          <w:sz w:val="27"/>
          <w:szCs w:val="27"/>
        </w:rPr>
      </w:pPr>
      <w:r>
        <w:rPr>
          <w:rFonts w:hint="eastAsia"/>
          <w:color w:val="333333"/>
          <w:sz w:val="27"/>
          <w:szCs w:val="27"/>
        </w:rPr>
        <w:t xml:space="preserve">　　二是监测联合授信额度使用情况。联合授信委员会建立企业融资台账，对已确认的企业实际融资及对集团外企业担保，在融资台账中等额扣减企业剩余融资额度。银行业金融机构向企业提供融资前，应查询剩余融资额度，在剩余融资额度内向该企业提供融资。</w:t>
      </w:r>
    </w:p>
    <w:p w:rsidR="00FE50D8" w:rsidRDefault="00FE50D8" w:rsidP="00FE50D8">
      <w:pPr>
        <w:pStyle w:val="a6"/>
        <w:shd w:val="clear" w:color="auto" w:fill="FFFFFF"/>
        <w:spacing w:before="0" w:beforeAutospacing="0" w:after="0" w:afterAutospacing="0"/>
        <w:rPr>
          <w:color w:val="333333"/>
          <w:sz w:val="27"/>
          <w:szCs w:val="27"/>
        </w:rPr>
      </w:pPr>
      <w:r>
        <w:rPr>
          <w:rFonts w:hint="eastAsia"/>
          <w:color w:val="333333"/>
          <w:sz w:val="27"/>
          <w:szCs w:val="27"/>
        </w:rPr>
        <w:t xml:space="preserve">　　三是建立预警机制。《办法》规定了预警状态触发、管理和退出的要求。对处于预警状态企业的新增融资，要求银行业金融机构应采取更加审慎严格的信贷审批标准、风险管控措施和风险缓释手段。若企业确可能发生偿债风险的，可在联合授信机制的基础上组建债权人委员会。</w:t>
      </w:r>
    </w:p>
    <w:p w:rsidR="00FE50D8" w:rsidRDefault="00FE50D8" w:rsidP="00FE50D8">
      <w:pPr>
        <w:pStyle w:val="a6"/>
        <w:shd w:val="clear" w:color="auto" w:fill="FFFFFF"/>
        <w:spacing w:before="0" w:beforeAutospacing="0" w:after="0" w:afterAutospacing="0"/>
        <w:rPr>
          <w:color w:val="333333"/>
          <w:sz w:val="27"/>
          <w:szCs w:val="27"/>
        </w:rPr>
      </w:pPr>
      <w:r>
        <w:rPr>
          <w:rFonts w:hint="eastAsia"/>
          <w:color w:val="333333"/>
          <w:sz w:val="27"/>
          <w:szCs w:val="27"/>
        </w:rPr>
        <w:t xml:space="preserve">　　联合授信机制是否会影响企业融资？银保监会相关负责人表示，联合授信机制不会对企业融资行为产生严重影响。按照《办法》规定的标准，应建立联合授信机制的企业数量很少，不足全部企业的千分之一，绝大多数企业不受影响。</w:t>
      </w:r>
    </w:p>
    <w:p w:rsidR="00FE50D8" w:rsidRDefault="00FE50D8" w:rsidP="00FE50D8">
      <w:pPr>
        <w:pStyle w:val="a6"/>
        <w:shd w:val="clear" w:color="auto" w:fill="FFFFFF"/>
        <w:spacing w:before="0" w:beforeAutospacing="0" w:after="0" w:afterAutospacing="0"/>
        <w:rPr>
          <w:color w:val="333333"/>
          <w:sz w:val="27"/>
          <w:szCs w:val="27"/>
        </w:rPr>
      </w:pPr>
      <w:r>
        <w:rPr>
          <w:rFonts w:hint="eastAsia"/>
          <w:color w:val="333333"/>
          <w:sz w:val="27"/>
          <w:szCs w:val="27"/>
        </w:rPr>
        <w:t xml:space="preserve">　　“据调查，对于达到联合授信机制建立标准的大型企业，其首要问题往往不是资金紧缺。多头融资、过度融资会对企业高负债运营、盲目扩张形成不当激励。”该负责人称，建立联合授信机制有助于维持企业债务率在合理水平，提高其财务稳健性，更有利于企业长远发展。</w:t>
      </w:r>
    </w:p>
    <w:p w:rsidR="00FE50D8" w:rsidRDefault="00FE50D8" w:rsidP="00FE50D8">
      <w:pPr>
        <w:pStyle w:val="a6"/>
        <w:shd w:val="clear" w:color="auto" w:fill="FFFFFF"/>
        <w:spacing w:before="0" w:beforeAutospacing="0" w:after="0" w:afterAutospacing="0"/>
        <w:rPr>
          <w:color w:val="333333"/>
          <w:sz w:val="27"/>
          <w:szCs w:val="27"/>
        </w:rPr>
      </w:pPr>
      <w:r>
        <w:rPr>
          <w:rFonts w:hint="eastAsia"/>
          <w:color w:val="333333"/>
          <w:sz w:val="27"/>
          <w:szCs w:val="27"/>
        </w:rPr>
        <w:t xml:space="preserve">　　与此同时，联合授信机制和债委会机制，均为金融机构相互协作共同防控信用风险的工作机制。但二者在风险控制阶段上有所差异。具体来看，联合授信机制立足关口前移，通过建立事前控制和事中监测等机制抑制企业多头融资、过度融资的行为；债委会机制主要针对已经出现偿债风险的企业，开展债务重组、资产保全等风险处置工作。联合授信机制和债委会机制互为协同、互为补充，构成覆盖事前、事中、事后全流程的风险防控体系，切实防范潜在重大信用风险。（张琼斯）</w:t>
      </w:r>
    </w:p>
    <w:p w:rsidR="00FE50D8" w:rsidRPr="00FE50D8" w:rsidRDefault="00FE50D8" w:rsidP="00FE50D8"/>
    <w:p w:rsidR="00C421E9" w:rsidRPr="00C421E9" w:rsidRDefault="00C421E9" w:rsidP="00C421E9">
      <w:pPr>
        <w:pStyle w:val="2"/>
        <w:spacing w:before="0"/>
      </w:pPr>
      <w:bookmarkStart w:id="10" w:name="_Toc515834313"/>
      <w:r w:rsidRPr="00C421E9">
        <w:lastRenderedPageBreak/>
        <w:t>银保监会专项检查影子银行</w:t>
      </w:r>
      <w:r w:rsidRPr="00C421E9">
        <w:t xml:space="preserve"> </w:t>
      </w:r>
      <w:r w:rsidRPr="00C421E9">
        <w:t>部分信托公司已暂停通道业务</w:t>
      </w:r>
      <w:bookmarkEnd w:id="10"/>
    </w:p>
    <w:p w:rsidR="00C421E9" w:rsidRDefault="00C421E9" w:rsidP="00C421E9">
      <w:pPr>
        <w:pStyle w:val="a6"/>
        <w:shd w:val="clear" w:color="auto" w:fill="FFFFFF"/>
        <w:spacing w:before="0" w:beforeAutospacing="0" w:after="0" w:afterAutospacing="0"/>
        <w:ind w:firstLineChars="150" w:firstLine="405"/>
        <w:rPr>
          <w:color w:val="333333"/>
          <w:sz w:val="27"/>
          <w:szCs w:val="27"/>
        </w:rPr>
      </w:pPr>
      <w:r>
        <w:rPr>
          <w:rFonts w:hint="eastAsia"/>
          <w:color w:val="333333"/>
          <w:sz w:val="27"/>
          <w:szCs w:val="27"/>
        </w:rPr>
        <w:t>中国证券报记者获悉，目前，银保监会正在全国范围内对信托等金融机构进行抽查，重点检查两方面内容：一是检查各金融机构对银监会“4号文”（《关于进一步深化整治银行业市场乱象的通知》）的落实情况；二是对影子银行、交叉金融进行专项检查。本次检查由银保监会主导，各地银监局支持，以现场检查的方式在全国范围内进行。</w:t>
      </w:r>
    </w:p>
    <w:p w:rsidR="00C421E9" w:rsidRDefault="00C421E9" w:rsidP="00C421E9">
      <w:pPr>
        <w:pStyle w:val="a6"/>
        <w:shd w:val="clear" w:color="auto" w:fill="FFFFFF"/>
        <w:spacing w:before="0" w:beforeAutospacing="0" w:after="0" w:afterAutospacing="0"/>
        <w:rPr>
          <w:color w:val="333333"/>
          <w:sz w:val="27"/>
          <w:szCs w:val="27"/>
        </w:rPr>
      </w:pPr>
      <w:r>
        <w:rPr>
          <w:rFonts w:hint="eastAsia"/>
          <w:color w:val="333333"/>
          <w:sz w:val="27"/>
          <w:szCs w:val="27"/>
        </w:rPr>
        <w:t xml:space="preserve">　</w:t>
      </w:r>
      <w:r>
        <w:rPr>
          <w:rStyle w:val="a7"/>
          <w:rFonts w:hint="eastAsia"/>
          <w:color w:val="333333"/>
          <w:sz w:val="27"/>
          <w:szCs w:val="27"/>
        </w:rPr>
        <w:t xml:space="preserve">　银信通道业务收紧</w:t>
      </w:r>
    </w:p>
    <w:p w:rsidR="00C421E9" w:rsidRDefault="00C421E9" w:rsidP="00C421E9">
      <w:pPr>
        <w:pStyle w:val="a6"/>
        <w:shd w:val="clear" w:color="auto" w:fill="FFFFFF"/>
        <w:spacing w:before="0" w:beforeAutospacing="0" w:after="0" w:afterAutospacing="0"/>
        <w:rPr>
          <w:color w:val="333333"/>
          <w:sz w:val="27"/>
          <w:szCs w:val="27"/>
        </w:rPr>
      </w:pPr>
      <w:r>
        <w:rPr>
          <w:rFonts w:hint="eastAsia"/>
          <w:color w:val="333333"/>
          <w:sz w:val="27"/>
          <w:szCs w:val="27"/>
        </w:rPr>
        <w:t xml:space="preserve">　　业内人士告诉中国证券报记者，本次银保监会在全国范围内对影子银行、交叉金融进行专项检查，主要涉及通道业务。中国证券报记者了解到，目前，部分信托公司已暂停通道业务，其余公司从今年初以来就提出，通道业务规模只减不增。业内人士指出，没有暂停的这部分公司主要是以前通道业务做得较少，额度控制压力较小。监管虽然没有明确要求不能做通道业务，但压缩规模的要求是明确的。</w:t>
      </w:r>
    </w:p>
    <w:p w:rsidR="00C421E9" w:rsidRDefault="00C421E9" w:rsidP="00C421E9">
      <w:pPr>
        <w:pStyle w:val="a6"/>
        <w:shd w:val="clear" w:color="auto" w:fill="FFFFFF"/>
        <w:spacing w:before="0" w:beforeAutospacing="0" w:after="0" w:afterAutospacing="0"/>
        <w:rPr>
          <w:color w:val="333333"/>
          <w:sz w:val="27"/>
          <w:szCs w:val="27"/>
        </w:rPr>
      </w:pPr>
      <w:r>
        <w:rPr>
          <w:rFonts w:hint="eastAsia"/>
          <w:color w:val="333333"/>
          <w:sz w:val="27"/>
          <w:szCs w:val="27"/>
        </w:rPr>
        <w:t xml:space="preserve">　　2017年12月22日发布的《关于规范银信类业务的通知》要求，信托公司不得与委托方银行签订抽屉协议，不得为委托方银行规避监管规定或第三方机构违法违规提供通道服务；不得将信托资金违规投向房地产、地方政府融资平台、股票市场、产能过剩等限制或禁止领域。此后，中信信托率先向监管部门作出“自律承诺”，在不发生系统性风险、坚持稳中求进总基调前提下，2018年公司银信通道业务规模只减不增，并将积极与存量业务合作方沟通，争取提前终止部分业务。</w:t>
      </w:r>
    </w:p>
    <w:p w:rsidR="00C421E9" w:rsidRDefault="00C421E9" w:rsidP="00C421E9">
      <w:pPr>
        <w:pStyle w:val="a6"/>
        <w:shd w:val="clear" w:color="auto" w:fill="FFFFFF"/>
        <w:spacing w:before="0" w:beforeAutospacing="0" w:after="0" w:afterAutospacing="0"/>
        <w:rPr>
          <w:color w:val="333333"/>
          <w:sz w:val="27"/>
          <w:szCs w:val="27"/>
        </w:rPr>
      </w:pPr>
      <w:r>
        <w:rPr>
          <w:rFonts w:hint="eastAsia"/>
          <w:color w:val="333333"/>
          <w:sz w:val="27"/>
          <w:szCs w:val="27"/>
        </w:rPr>
        <w:t xml:space="preserve">　　记者了解到，在资管新规正式出台之前，中信信托已暂停通道业务。</w:t>
      </w:r>
    </w:p>
    <w:p w:rsidR="00C421E9" w:rsidRDefault="00C421E9" w:rsidP="00C421E9">
      <w:pPr>
        <w:pStyle w:val="a6"/>
        <w:shd w:val="clear" w:color="auto" w:fill="FFFFFF"/>
        <w:spacing w:before="0" w:beforeAutospacing="0" w:after="0" w:afterAutospacing="0"/>
        <w:rPr>
          <w:color w:val="333333"/>
          <w:sz w:val="27"/>
          <w:szCs w:val="27"/>
        </w:rPr>
      </w:pPr>
      <w:r>
        <w:rPr>
          <w:rFonts w:hint="eastAsia"/>
          <w:color w:val="333333"/>
          <w:sz w:val="27"/>
          <w:szCs w:val="27"/>
        </w:rPr>
        <w:t xml:space="preserve">　　上述业内人士告诉记者：“最近跟一些信托公司交流，虽然有的公司明确发函暂停，有的没有发函，但确定不再新增通道业务的信托公司不在少数。”</w:t>
      </w:r>
    </w:p>
    <w:p w:rsidR="00C421E9" w:rsidRDefault="00C421E9" w:rsidP="00C421E9">
      <w:pPr>
        <w:pStyle w:val="a6"/>
        <w:shd w:val="clear" w:color="auto" w:fill="FFFFFF"/>
        <w:spacing w:before="0" w:beforeAutospacing="0" w:after="0" w:afterAutospacing="0"/>
        <w:rPr>
          <w:color w:val="333333"/>
          <w:sz w:val="27"/>
          <w:szCs w:val="27"/>
        </w:rPr>
      </w:pPr>
      <w:r>
        <w:rPr>
          <w:rFonts w:hint="eastAsia"/>
          <w:color w:val="333333"/>
          <w:sz w:val="27"/>
          <w:szCs w:val="27"/>
        </w:rPr>
        <w:t xml:space="preserve">　　截至目前，已有中信信托、紫金信托、华鑫信托、西部信托等多家信托公司暂停通道业务。</w:t>
      </w:r>
    </w:p>
    <w:p w:rsidR="00C421E9" w:rsidRDefault="00C421E9" w:rsidP="00C421E9">
      <w:pPr>
        <w:pStyle w:val="a6"/>
        <w:shd w:val="clear" w:color="auto" w:fill="FFFFFF"/>
        <w:spacing w:before="0" w:beforeAutospacing="0" w:after="0" w:afterAutospacing="0"/>
        <w:rPr>
          <w:color w:val="333333"/>
          <w:sz w:val="27"/>
          <w:szCs w:val="27"/>
        </w:rPr>
      </w:pPr>
      <w:r>
        <w:rPr>
          <w:rFonts w:hint="eastAsia"/>
          <w:color w:val="333333"/>
          <w:sz w:val="27"/>
          <w:szCs w:val="27"/>
        </w:rPr>
        <w:t xml:space="preserve">　　某接近监管层的人士告诉记者：“今年以来，监管从银行和信托两端收紧银信通道业务。一季度，信托行业的总体规模较2017年已呈现负增长。”</w:t>
      </w:r>
    </w:p>
    <w:p w:rsidR="00C421E9" w:rsidRDefault="00C421E9" w:rsidP="00C421E9">
      <w:pPr>
        <w:pStyle w:val="a6"/>
        <w:shd w:val="clear" w:color="auto" w:fill="FFFFFF"/>
        <w:spacing w:before="0" w:beforeAutospacing="0" w:after="0" w:afterAutospacing="0"/>
        <w:rPr>
          <w:color w:val="333333"/>
          <w:sz w:val="27"/>
          <w:szCs w:val="27"/>
        </w:rPr>
      </w:pPr>
      <w:r>
        <w:rPr>
          <w:rFonts w:hint="eastAsia"/>
          <w:color w:val="333333"/>
          <w:sz w:val="27"/>
          <w:szCs w:val="27"/>
        </w:rPr>
        <w:lastRenderedPageBreak/>
        <w:t xml:space="preserve">　</w:t>
      </w:r>
      <w:r>
        <w:rPr>
          <w:rStyle w:val="a7"/>
          <w:rFonts w:hint="eastAsia"/>
          <w:color w:val="333333"/>
          <w:sz w:val="27"/>
          <w:szCs w:val="27"/>
        </w:rPr>
        <w:t xml:space="preserve">　信托回归本源大势所趋</w:t>
      </w:r>
    </w:p>
    <w:p w:rsidR="00C421E9" w:rsidRDefault="00C421E9" w:rsidP="00C421E9">
      <w:pPr>
        <w:pStyle w:val="a6"/>
        <w:shd w:val="clear" w:color="auto" w:fill="FFFFFF"/>
        <w:spacing w:before="0" w:beforeAutospacing="0" w:after="0" w:afterAutospacing="0"/>
        <w:rPr>
          <w:color w:val="333333"/>
          <w:sz w:val="27"/>
          <w:szCs w:val="27"/>
        </w:rPr>
      </w:pPr>
      <w:r>
        <w:rPr>
          <w:rFonts w:hint="eastAsia"/>
          <w:color w:val="333333"/>
          <w:sz w:val="27"/>
          <w:szCs w:val="27"/>
        </w:rPr>
        <w:t xml:space="preserve">　　某信托公司研究员表示，在严监管背景下，虽然短时间内行业要经历转型阵痛期，但从长远看，对于防控金融风险、支持实体经济都大有裨益。</w:t>
      </w:r>
    </w:p>
    <w:p w:rsidR="00C421E9" w:rsidRDefault="00C421E9" w:rsidP="00C421E9">
      <w:pPr>
        <w:pStyle w:val="a6"/>
        <w:shd w:val="clear" w:color="auto" w:fill="FFFFFF"/>
        <w:spacing w:before="0" w:beforeAutospacing="0" w:after="0" w:afterAutospacing="0"/>
        <w:rPr>
          <w:color w:val="333333"/>
          <w:sz w:val="27"/>
          <w:szCs w:val="27"/>
        </w:rPr>
      </w:pPr>
      <w:r>
        <w:rPr>
          <w:rFonts w:hint="eastAsia"/>
          <w:color w:val="333333"/>
          <w:sz w:val="27"/>
          <w:szCs w:val="27"/>
        </w:rPr>
        <w:t xml:space="preserve">　　从信托通道业务资金的投向来看，大部分信托资金用于向一些市政平台和房地产企业发放贷款，而减少通道业务规模甚至暂停通道业务，会大大减少资金流向房地产企业和地方政府融资平台。（下转A02版）</w:t>
      </w:r>
    </w:p>
    <w:p w:rsidR="00C421E9" w:rsidRDefault="00C421E9" w:rsidP="00C421E9">
      <w:pPr>
        <w:pStyle w:val="a6"/>
        <w:shd w:val="clear" w:color="auto" w:fill="FFFFFF"/>
        <w:spacing w:before="0" w:beforeAutospacing="0" w:after="0" w:afterAutospacing="0"/>
        <w:rPr>
          <w:color w:val="333333"/>
          <w:sz w:val="27"/>
          <w:szCs w:val="27"/>
        </w:rPr>
      </w:pPr>
      <w:r>
        <w:rPr>
          <w:rFonts w:hint="eastAsia"/>
          <w:color w:val="333333"/>
          <w:sz w:val="27"/>
          <w:szCs w:val="27"/>
        </w:rPr>
        <w:t xml:space="preserve">　　（上接A01版）“减少对房地产市场的资金投入会进一步降低房地产企业杠杆，符合国家房地产调控政策；收紧市政平台的融资渠道，也将逐步缓解地方政府的负债压力。”上述信托公司研究员告诉记者。</w:t>
      </w:r>
    </w:p>
    <w:p w:rsidR="00C421E9" w:rsidRDefault="00C421E9" w:rsidP="00C421E9">
      <w:pPr>
        <w:pStyle w:val="a6"/>
        <w:shd w:val="clear" w:color="auto" w:fill="FFFFFF"/>
        <w:spacing w:before="0" w:beforeAutospacing="0" w:after="0" w:afterAutospacing="0"/>
        <w:rPr>
          <w:color w:val="333333"/>
          <w:sz w:val="27"/>
          <w:szCs w:val="27"/>
        </w:rPr>
      </w:pPr>
      <w:r>
        <w:rPr>
          <w:rFonts w:hint="eastAsia"/>
          <w:color w:val="333333"/>
          <w:sz w:val="27"/>
          <w:szCs w:val="27"/>
        </w:rPr>
        <w:t xml:space="preserve">　　对信托行业而言，虽然公司纷纷暂停了通道业务，或者降低了通道业务规模，但总的来说，“对信托公司的影响不大。”上述业内人士表示，“通道业务在规模上占比较大，但通道业务的费率较低，对营收的影响不至于太大。”</w:t>
      </w:r>
    </w:p>
    <w:p w:rsidR="00C421E9" w:rsidRDefault="00C421E9" w:rsidP="00C421E9">
      <w:pPr>
        <w:pStyle w:val="a6"/>
        <w:shd w:val="clear" w:color="auto" w:fill="FFFFFF"/>
        <w:spacing w:before="0" w:beforeAutospacing="0" w:after="0" w:afterAutospacing="0"/>
        <w:rPr>
          <w:color w:val="333333"/>
          <w:sz w:val="27"/>
          <w:szCs w:val="27"/>
        </w:rPr>
      </w:pPr>
      <w:r>
        <w:rPr>
          <w:rFonts w:hint="eastAsia"/>
          <w:color w:val="333333"/>
          <w:sz w:val="27"/>
          <w:szCs w:val="27"/>
        </w:rPr>
        <w:t xml:space="preserve">　　破刚兑、去通道、回归本源已成为趋势。越来越多的信托公司选择回归本源，着重从家族信托、慈善信托等业务入手，以期为公司转型提供新切入点。同时，信托公司积极推动业务转型发展，在资产证券化、消费金融等领域进行积极探索，由规模驱动向价值驱动转型，积极支持和服务实体经济。</w:t>
      </w:r>
    </w:p>
    <w:p w:rsidR="00C421E9" w:rsidRPr="00C421E9" w:rsidRDefault="00C421E9" w:rsidP="00C421E9"/>
    <w:p w:rsidR="00082598" w:rsidRDefault="00082598" w:rsidP="00082598">
      <w:pPr>
        <w:pStyle w:val="a6"/>
        <w:shd w:val="clear" w:color="auto" w:fill="FFFFFF"/>
        <w:spacing w:before="0" w:beforeAutospacing="0" w:after="0" w:afterAutospacing="0"/>
        <w:rPr>
          <w:color w:val="333333"/>
          <w:sz w:val="27"/>
          <w:szCs w:val="27"/>
        </w:rPr>
      </w:pPr>
    </w:p>
    <w:p w:rsidR="00AC5351" w:rsidRDefault="00AC5351" w:rsidP="00D07BB9">
      <w:pPr>
        <w:pStyle w:val="2"/>
        <w:spacing w:before="0"/>
      </w:pPr>
      <w:bookmarkStart w:id="11" w:name="_Toc515834314"/>
      <w:r w:rsidRPr="00AC5351">
        <w:rPr>
          <w:rFonts w:hint="eastAsia"/>
        </w:rPr>
        <w:t>上交所就收盘交易机制相关规则修订公开征求意见</w:t>
      </w:r>
      <w:bookmarkEnd w:id="11"/>
    </w:p>
    <w:p w:rsidR="002741D2" w:rsidRDefault="002741D2" w:rsidP="002741D2">
      <w:pPr>
        <w:pStyle w:val="a6"/>
        <w:shd w:val="clear" w:color="auto" w:fill="FFFFFF"/>
        <w:spacing w:before="0" w:beforeAutospacing="0" w:after="0" w:afterAutospacing="0"/>
        <w:ind w:firstLineChars="200" w:firstLine="540"/>
        <w:rPr>
          <w:color w:val="333333"/>
          <w:sz w:val="27"/>
          <w:szCs w:val="27"/>
        </w:rPr>
      </w:pPr>
      <w:r>
        <w:rPr>
          <w:rFonts w:hint="eastAsia"/>
          <w:color w:val="333333"/>
          <w:sz w:val="27"/>
          <w:szCs w:val="27"/>
        </w:rPr>
        <w:t>中国证券网讯 据上交所6月1日消息，近日，上交所发布通知，拟调整收盘交易机制，采用收盘集合竞价方式产生收盘价，并就收盘交易调整相关规则修订向市场公开征求意见，征求意见的截止时间为2018年6月17日。</w:t>
      </w:r>
    </w:p>
    <w:p w:rsidR="002741D2" w:rsidRDefault="002741D2" w:rsidP="002741D2">
      <w:pPr>
        <w:pStyle w:val="a6"/>
        <w:shd w:val="clear" w:color="auto" w:fill="FFFFFF"/>
        <w:spacing w:before="0" w:beforeAutospacing="0" w:after="0" w:afterAutospacing="0"/>
        <w:rPr>
          <w:color w:val="333333"/>
          <w:sz w:val="27"/>
          <w:szCs w:val="27"/>
        </w:rPr>
      </w:pPr>
      <w:r>
        <w:rPr>
          <w:rFonts w:hint="eastAsia"/>
          <w:color w:val="333333"/>
          <w:sz w:val="27"/>
          <w:szCs w:val="27"/>
        </w:rPr>
        <w:t xml:space="preserve">　　上交所有关负责人表示，收盘集合竞价是国际证券市场收盘价产生的主要方式之一，上交所经过长期认真研究，认为采用收盘集合竞价有助于维护收盘阶段的价格平稳。</w:t>
      </w:r>
    </w:p>
    <w:p w:rsidR="002741D2" w:rsidRDefault="002741D2" w:rsidP="002741D2">
      <w:pPr>
        <w:pStyle w:val="a6"/>
        <w:shd w:val="clear" w:color="auto" w:fill="FFFFFF"/>
        <w:spacing w:before="0" w:beforeAutospacing="0" w:after="0" w:afterAutospacing="0"/>
        <w:rPr>
          <w:color w:val="333333"/>
          <w:sz w:val="27"/>
          <w:szCs w:val="27"/>
        </w:rPr>
      </w:pPr>
      <w:r>
        <w:rPr>
          <w:rFonts w:hint="eastAsia"/>
          <w:color w:val="333333"/>
          <w:sz w:val="27"/>
          <w:szCs w:val="27"/>
        </w:rPr>
        <w:lastRenderedPageBreak/>
        <w:t xml:space="preserve">　　下一步，上交所将充分听取各方意见，完善规则相关安排，待经中国证监会批准规则后发布实施。</w:t>
      </w:r>
    </w:p>
    <w:p w:rsidR="002741D2" w:rsidRPr="002741D2" w:rsidRDefault="002741D2" w:rsidP="002741D2"/>
    <w:p w:rsidR="009750BA" w:rsidRDefault="009750BA" w:rsidP="00D07BB9">
      <w:pPr>
        <w:pStyle w:val="2"/>
        <w:spacing w:before="0"/>
      </w:pPr>
      <w:bookmarkStart w:id="12" w:name="_Toc515834315"/>
      <w:r w:rsidRPr="009750BA">
        <w:rPr>
          <w:rFonts w:hint="eastAsia"/>
        </w:rPr>
        <w:t>货币市场基金互联网销售赎回服务规范意见出台</w:t>
      </w:r>
      <w:bookmarkEnd w:id="12"/>
    </w:p>
    <w:p w:rsidR="009750BA" w:rsidRDefault="009750BA" w:rsidP="009750BA">
      <w:pPr>
        <w:pStyle w:val="a6"/>
        <w:shd w:val="clear" w:color="auto" w:fill="FFFFFF"/>
        <w:spacing w:before="0" w:beforeAutospacing="0" w:after="0" w:afterAutospacing="0"/>
        <w:ind w:firstLineChars="200" w:firstLine="540"/>
        <w:rPr>
          <w:color w:val="333333"/>
          <w:sz w:val="27"/>
          <w:szCs w:val="27"/>
        </w:rPr>
      </w:pPr>
      <w:r>
        <w:rPr>
          <w:rFonts w:hint="eastAsia"/>
          <w:color w:val="333333"/>
          <w:sz w:val="27"/>
          <w:szCs w:val="27"/>
        </w:rPr>
        <w:t>证监会新闻发言人常德鹏6月1日在例行发布会上表示，为有效防控金融风险，中国证监会与中国人民银行近日联合发布《关于进一步规范货币市场基金互联网销售、赎回相关服务的指导意见》（以下简称《指导意见》）。</w:t>
      </w:r>
    </w:p>
    <w:p w:rsidR="009750BA" w:rsidRDefault="009750BA" w:rsidP="009750BA">
      <w:pPr>
        <w:pStyle w:val="a6"/>
        <w:shd w:val="clear" w:color="auto" w:fill="FFFFFF"/>
        <w:spacing w:before="0" w:beforeAutospacing="0" w:after="0" w:afterAutospacing="0"/>
        <w:rPr>
          <w:color w:val="333333"/>
          <w:sz w:val="27"/>
          <w:szCs w:val="27"/>
        </w:rPr>
      </w:pPr>
      <w:r>
        <w:rPr>
          <w:rFonts w:hint="eastAsia"/>
          <w:color w:val="333333"/>
          <w:sz w:val="27"/>
          <w:szCs w:val="27"/>
        </w:rPr>
        <w:t xml:space="preserve">　　常德鹏表示，近年来，货币市场基金因风险较低、收益稳定等特点受到投资者的普遍欢迎，规模持续增长，总体发展较为稳健。但是，货币市场基金在互联网销售、赎回相关服务中也产生一些问题，不利于投资者利益保护和市场公平有序竞争，集中表现在：部分不具备基金销售业务资格的互联网机构、非银行支付机构直接或变相从事基金销售业务，规避监管；个别基金存在排他性销售、非公平竞争情况；部分基金在宣传推介中存在片面强调收益性和便利性，对投资者风险揭示不足等。此外，货币市场基金快速赎回业务发展迅猛，部分基金管理人和基金销售机构以所谓“实时大额取现”为卖点盲目扩张业务规模，部分支付机构违规提供资金垫支，给投资者带来无限流动性预期，潜在一定流动性风险隐患。亟须对相关业务加以规制，切实防范风险，促进规范发展。</w:t>
      </w:r>
    </w:p>
    <w:p w:rsidR="009750BA" w:rsidRDefault="009750BA" w:rsidP="009750BA">
      <w:pPr>
        <w:pStyle w:val="a6"/>
        <w:shd w:val="clear" w:color="auto" w:fill="FFFFFF"/>
        <w:spacing w:before="0" w:beforeAutospacing="0" w:after="0" w:afterAutospacing="0"/>
        <w:rPr>
          <w:color w:val="333333"/>
          <w:sz w:val="27"/>
          <w:szCs w:val="27"/>
        </w:rPr>
      </w:pPr>
      <w:r>
        <w:rPr>
          <w:rFonts w:hint="eastAsia"/>
          <w:color w:val="333333"/>
          <w:sz w:val="27"/>
          <w:szCs w:val="27"/>
        </w:rPr>
        <w:t xml:space="preserve">　　总体来说，《指导意见》主要从五个方面提出要求：</w:t>
      </w:r>
    </w:p>
    <w:p w:rsidR="009750BA" w:rsidRDefault="009750BA" w:rsidP="009750BA">
      <w:pPr>
        <w:pStyle w:val="a6"/>
        <w:shd w:val="clear" w:color="auto" w:fill="FFFFFF"/>
        <w:spacing w:before="0" w:beforeAutospacing="0" w:after="0" w:afterAutospacing="0"/>
        <w:rPr>
          <w:color w:val="333333"/>
          <w:sz w:val="27"/>
          <w:szCs w:val="27"/>
        </w:rPr>
      </w:pPr>
      <w:r>
        <w:rPr>
          <w:rFonts w:hint="eastAsia"/>
          <w:color w:val="333333"/>
          <w:sz w:val="27"/>
          <w:szCs w:val="27"/>
        </w:rPr>
        <w:t xml:space="preserve">　　一是货币市场基金互联网销售过程中，应当严格落实“三强化、六严禁”的原则要求。即，强化持牌经营要求，强化基金销售结算资金闭环运作与同卡进出要求，强化基金销售活动的公平竞争要求；严禁非持牌机构开展基金销售活动，严禁其留存投资者基金销售信息，严禁任何机构或个人挪用基金销售结算资金，严禁基金销售结算资金用于“T+0赎回提现”业务，严禁基金份额违规转让，严禁对基金实施歧视性、排他性、绑定性销售。</w:t>
      </w:r>
    </w:p>
    <w:p w:rsidR="009750BA" w:rsidRDefault="009750BA" w:rsidP="009750BA">
      <w:pPr>
        <w:pStyle w:val="a6"/>
        <w:shd w:val="clear" w:color="auto" w:fill="FFFFFF"/>
        <w:spacing w:before="0" w:beforeAutospacing="0" w:after="0" w:afterAutospacing="0"/>
        <w:rPr>
          <w:color w:val="333333"/>
          <w:sz w:val="27"/>
          <w:szCs w:val="27"/>
        </w:rPr>
      </w:pPr>
      <w:r>
        <w:rPr>
          <w:rFonts w:hint="eastAsia"/>
          <w:color w:val="333333"/>
          <w:sz w:val="27"/>
          <w:szCs w:val="27"/>
        </w:rPr>
        <w:lastRenderedPageBreak/>
        <w:t xml:space="preserve">　　二是对“T+0赎回提现”实施限额管理。对单个投资者持有的单只货币市场基金，设定在单一基金销售机构单日不高于1万元的“T+0赎回提现”额度上限。投资者按合同约定的正常赎回不受影响。</w:t>
      </w:r>
    </w:p>
    <w:p w:rsidR="009750BA" w:rsidRDefault="009750BA" w:rsidP="009750BA">
      <w:pPr>
        <w:pStyle w:val="a6"/>
        <w:shd w:val="clear" w:color="auto" w:fill="FFFFFF"/>
        <w:spacing w:before="0" w:beforeAutospacing="0" w:after="0" w:afterAutospacing="0"/>
        <w:rPr>
          <w:color w:val="333333"/>
          <w:sz w:val="27"/>
          <w:szCs w:val="27"/>
        </w:rPr>
      </w:pPr>
      <w:r>
        <w:rPr>
          <w:rFonts w:hint="eastAsia"/>
          <w:color w:val="333333"/>
          <w:sz w:val="27"/>
          <w:szCs w:val="27"/>
        </w:rPr>
        <w:t xml:space="preserve">　　三是除取得基金销售业务资格的商业银行外，禁止其他机构或个人以任何方式为“T+0赎回提现”业务提供垫支。</w:t>
      </w:r>
    </w:p>
    <w:p w:rsidR="009750BA" w:rsidRDefault="009750BA" w:rsidP="009750BA">
      <w:pPr>
        <w:pStyle w:val="a6"/>
        <w:shd w:val="clear" w:color="auto" w:fill="FFFFFF"/>
        <w:spacing w:before="0" w:beforeAutospacing="0" w:after="0" w:afterAutospacing="0"/>
        <w:rPr>
          <w:color w:val="333333"/>
          <w:sz w:val="27"/>
          <w:szCs w:val="27"/>
        </w:rPr>
      </w:pPr>
      <w:r>
        <w:rPr>
          <w:rFonts w:hint="eastAsia"/>
          <w:color w:val="333333"/>
          <w:sz w:val="27"/>
          <w:szCs w:val="27"/>
        </w:rPr>
        <w:t xml:space="preserve">　　四是规范基金管理人和基金销售机构“T+0赎回提现”业务的宣传推介和信息披露活动，加强风险揭示，严禁误导投资者。</w:t>
      </w:r>
    </w:p>
    <w:p w:rsidR="009750BA" w:rsidRDefault="009750BA" w:rsidP="009750BA">
      <w:pPr>
        <w:pStyle w:val="a6"/>
        <w:shd w:val="clear" w:color="auto" w:fill="FFFFFF"/>
        <w:spacing w:before="0" w:beforeAutospacing="0" w:after="0" w:afterAutospacing="0"/>
        <w:rPr>
          <w:color w:val="333333"/>
          <w:sz w:val="27"/>
          <w:szCs w:val="27"/>
        </w:rPr>
      </w:pPr>
      <w:r>
        <w:rPr>
          <w:rFonts w:hint="eastAsia"/>
          <w:color w:val="333333"/>
          <w:sz w:val="27"/>
          <w:szCs w:val="27"/>
        </w:rPr>
        <w:t xml:space="preserve">　　五是要求非银行支付机构不得提供以货币市场基金份额直接进行支付的增值服务，不得从事或变相从事货币市场基金销售业务，不得为“T+0赎回提现”业务提供垫支等。</w:t>
      </w:r>
    </w:p>
    <w:p w:rsidR="009750BA" w:rsidRDefault="009750BA" w:rsidP="009750BA">
      <w:pPr>
        <w:pStyle w:val="a6"/>
        <w:shd w:val="clear" w:color="auto" w:fill="FFFFFF"/>
        <w:spacing w:before="0" w:beforeAutospacing="0" w:after="0" w:afterAutospacing="0"/>
        <w:rPr>
          <w:color w:val="333333"/>
          <w:sz w:val="27"/>
          <w:szCs w:val="27"/>
        </w:rPr>
      </w:pPr>
      <w:r>
        <w:rPr>
          <w:rFonts w:hint="eastAsia"/>
          <w:color w:val="333333"/>
          <w:sz w:val="27"/>
          <w:szCs w:val="27"/>
        </w:rPr>
        <w:t xml:space="preserve">　　“《指导意见》自2018年6月1日起正式施行，考虑行业机构落实《指导意见》要求需要一定时间，对改造存量业务额度上限给予1个月过渡期，对改造存量业务垫支模式给予 6个月过渡期。”常德鹏表示，“相关市场机构应当严格落实《指导意见》，归位尽责，完成存量业务的规范整改，增强风险意识，努力提升合规风控水平，促进货币市场基金平稳健康发展。”</w:t>
      </w:r>
    </w:p>
    <w:p w:rsidR="009750BA" w:rsidRPr="009750BA" w:rsidRDefault="009750BA" w:rsidP="009750BA"/>
    <w:p w:rsidR="00D07BB9" w:rsidRPr="00D07BB9" w:rsidRDefault="00D07BB9" w:rsidP="00D07BB9">
      <w:pPr>
        <w:pStyle w:val="2"/>
        <w:spacing w:before="0"/>
      </w:pPr>
      <w:bookmarkStart w:id="13" w:name="_Toc515834316"/>
      <w:r w:rsidRPr="00D07BB9">
        <w:t>ABS</w:t>
      </w:r>
      <w:r w:rsidRPr="00D07BB9">
        <w:t>大类基础资产信披指引料近期出台</w:t>
      </w:r>
      <w:bookmarkEnd w:id="13"/>
    </w:p>
    <w:p w:rsidR="00D07BB9" w:rsidRDefault="00D07BB9" w:rsidP="00D07BB9">
      <w:pPr>
        <w:pStyle w:val="a6"/>
        <w:shd w:val="clear" w:color="auto" w:fill="FFFFFF"/>
        <w:spacing w:before="0" w:beforeAutospacing="0" w:after="0" w:afterAutospacing="0"/>
        <w:ind w:firstLineChars="200" w:firstLine="540"/>
        <w:rPr>
          <w:color w:val="333333"/>
          <w:sz w:val="27"/>
          <w:szCs w:val="27"/>
        </w:rPr>
      </w:pPr>
      <w:r>
        <w:rPr>
          <w:rFonts w:hint="eastAsia"/>
          <w:color w:val="333333"/>
          <w:sz w:val="27"/>
          <w:szCs w:val="27"/>
        </w:rPr>
        <w:t>中国证券报记者从接近监管人士处了解到，监管部门正在酝酿制定资产支持证券（ABS）大类基础资产信息披露指引，指引有望近期出台，以进一步规范ABS信息披露。进一步完善的信息披露制度，将进一步提升投资者的知情权，促进ABS投资者的风险管理。</w:t>
      </w:r>
    </w:p>
    <w:p w:rsidR="00D07BB9" w:rsidRDefault="00D07BB9" w:rsidP="00D07BB9">
      <w:pPr>
        <w:pStyle w:val="a6"/>
        <w:shd w:val="clear" w:color="auto" w:fill="FFFFFF"/>
        <w:spacing w:before="0" w:beforeAutospacing="0" w:after="0" w:afterAutospacing="0"/>
        <w:rPr>
          <w:color w:val="333333"/>
          <w:sz w:val="27"/>
          <w:szCs w:val="27"/>
        </w:rPr>
      </w:pPr>
      <w:r>
        <w:rPr>
          <w:rStyle w:val="a7"/>
          <w:rFonts w:hint="eastAsia"/>
          <w:color w:val="333333"/>
          <w:sz w:val="27"/>
          <w:szCs w:val="27"/>
        </w:rPr>
        <w:t xml:space="preserve">　　信披指引或近期出炉</w:t>
      </w:r>
    </w:p>
    <w:p w:rsidR="00D07BB9" w:rsidRDefault="00D07BB9" w:rsidP="00D07BB9">
      <w:pPr>
        <w:pStyle w:val="a6"/>
        <w:shd w:val="clear" w:color="auto" w:fill="FFFFFF"/>
        <w:spacing w:before="0" w:beforeAutospacing="0" w:after="0" w:afterAutospacing="0"/>
        <w:rPr>
          <w:color w:val="333333"/>
          <w:sz w:val="27"/>
          <w:szCs w:val="27"/>
        </w:rPr>
      </w:pPr>
      <w:r>
        <w:rPr>
          <w:rFonts w:hint="eastAsia"/>
          <w:color w:val="333333"/>
          <w:sz w:val="27"/>
          <w:szCs w:val="27"/>
        </w:rPr>
        <w:t xml:space="preserve">　　记者从接近监管人士处了解到，监管正在酝酿ABS大类基础资产信息披露指引，进一步规范ABS信息披露。继5月11日上交所发布《资产支持证券定期报告内容与格式指引》之后，ABS信息披露规范化建设有望再获推进。</w:t>
      </w:r>
    </w:p>
    <w:p w:rsidR="00D07BB9" w:rsidRDefault="00D07BB9" w:rsidP="00D07BB9">
      <w:pPr>
        <w:pStyle w:val="a6"/>
        <w:shd w:val="clear" w:color="auto" w:fill="FFFFFF"/>
        <w:spacing w:before="0" w:beforeAutospacing="0" w:after="0" w:afterAutospacing="0"/>
        <w:rPr>
          <w:color w:val="333333"/>
          <w:sz w:val="27"/>
          <w:szCs w:val="27"/>
        </w:rPr>
      </w:pPr>
      <w:r>
        <w:rPr>
          <w:rFonts w:hint="eastAsia"/>
          <w:color w:val="333333"/>
          <w:sz w:val="27"/>
          <w:szCs w:val="27"/>
        </w:rPr>
        <w:t xml:space="preserve">　　上述监管人士表示，多个监管部门已经达成共识，监管多方正协调统一大类资产证券化产品的准入标准和信息披露要求，近期会逐步推进ABS的监管制度建设，坚持以“真实出售、破</w:t>
      </w:r>
      <w:r>
        <w:rPr>
          <w:rFonts w:hint="eastAsia"/>
          <w:color w:val="333333"/>
          <w:sz w:val="27"/>
          <w:szCs w:val="27"/>
        </w:rPr>
        <w:lastRenderedPageBreak/>
        <w:t>产隔离”为核心推进资产证券化业务，发挥资产信用优势，避免ABS单纯成为企业加杠杆、扩大债务规模手段。</w:t>
      </w:r>
    </w:p>
    <w:p w:rsidR="00D07BB9" w:rsidRDefault="00D07BB9" w:rsidP="00D07BB9">
      <w:pPr>
        <w:pStyle w:val="a6"/>
        <w:shd w:val="clear" w:color="auto" w:fill="FFFFFF"/>
        <w:spacing w:before="0" w:beforeAutospacing="0" w:after="0" w:afterAutospacing="0"/>
        <w:rPr>
          <w:color w:val="333333"/>
          <w:sz w:val="27"/>
          <w:szCs w:val="27"/>
        </w:rPr>
      </w:pPr>
      <w:r>
        <w:rPr>
          <w:rFonts w:hint="eastAsia"/>
          <w:color w:val="333333"/>
          <w:sz w:val="27"/>
          <w:szCs w:val="27"/>
        </w:rPr>
        <w:t xml:space="preserve">　　长江证券固定收益总部投资经理章凯恺表示，提高ABS发行人的资质门槛，强化信息披露，并要求中介机构有效监督发行人，可有效降低发行人与投资者的信息不对称。这对于优化和约束ABS发行人，从而切实维护市场秩序，保护投资者合法权益具有重要意义。一位信托业人士指出，完善的信息披露制度有利于投资者在ABS存续期进行风险管理，同时有助于提升ABS市场流动性，解决困扰ABS投资者的头号难题。</w:t>
      </w:r>
    </w:p>
    <w:p w:rsidR="00D07BB9" w:rsidRDefault="00D07BB9" w:rsidP="00D07BB9">
      <w:pPr>
        <w:pStyle w:val="a6"/>
        <w:shd w:val="clear" w:color="auto" w:fill="FFFFFF"/>
        <w:spacing w:before="0" w:beforeAutospacing="0" w:after="0" w:afterAutospacing="0"/>
        <w:rPr>
          <w:color w:val="333333"/>
          <w:sz w:val="27"/>
          <w:szCs w:val="27"/>
        </w:rPr>
      </w:pPr>
      <w:r>
        <w:rPr>
          <w:rFonts w:hint="eastAsia"/>
          <w:color w:val="333333"/>
          <w:sz w:val="27"/>
          <w:szCs w:val="27"/>
        </w:rPr>
        <w:t xml:space="preserve">　　据记者了解，正在酝酿的政策还包括搭建ABS日常监管和风险处置体系，例如草拟《资产证券化业务日常监管和风险处置规则》、建立资产支持证券风险台账。此外，监管各方还在促成监管联动，公司债、ABS、IPO、并购重组等资本市场各环节以及其它资本市场业务力求监管信息共享，力求包含公司、高管的违法违规信息共享，实现监管联动。</w:t>
      </w:r>
    </w:p>
    <w:p w:rsidR="00D07BB9" w:rsidRDefault="00D07BB9" w:rsidP="00D07BB9">
      <w:pPr>
        <w:pStyle w:val="a6"/>
        <w:shd w:val="clear" w:color="auto" w:fill="FFFFFF"/>
        <w:spacing w:before="0" w:beforeAutospacing="0" w:after="0" w:afterAutospacing="0"/>
        <w:rPr>
          <w:color w:val="333333"/>
          <w:sz w:val="27"/>
          <w:szCs w:val="27"/>
        </w:rPr>
      </w:pPr>
      <w:r>
        <w:rPr>
          <w:rFonts w:hint="eastAsia"/>
          <w:color w:val="333333"/>
          <w:sz w:val="27"/>
          <w:szCs w:val="27"/>
        </w:rPr>
        <w:t xml:space="preserve">　　“在严格资产隔离的情况下，基础资产产生的现金流只能归集到ABS的监管户，用于支付ABS本息。由于ABS对应基础资产，一旦发生违约，基础资产产生的现金流只能定向支付给ABS投资者。从法律上说，ABS投资者权益有较好保障。”资深ABS从业者冯川表示。</w:t>
      </w:r>
    </w:p>
    <w:p w:rsidR="00D07BB9" w:rsidRDefault="00D07BB9" w:rsidP="00D07BB9">
      <w:pPr>
        <w:pStyle w:val="a6"/>
        <w:shd w:val="clear" w:color="auto" w:fill="FFFFFF"/>
        <w:spacing w:before="0" w:beforeAutospacing="0" w:after="0" w:afterAutospacing="0"/>
        <w:rPr>
          <w:color w:val="333333"/>
          <w:sz w:val="27"/>
          <w:szCs w:val="27"/>
        </w:rPr>
      </w:pPr>
      <w:r>
        <w:rPr>
          <w:rFonts w:hint="eastAsia"/>
          <w:color w:val="333333"/>
          <w:sz w:val="27"/>
          <w:szCs w:val="27"/>
        </w:rPr>
        <w:t xml:space="preserve">　　业内人士表示，从数据上看，目前企业ABS发行数据企稳。冯川表示，目前AAA评级、主体好资产好的ABS品种基本都会超募。记者了解到，AA、AA+评级ABS募集困难，部分券商拿到交易所ABS发行确认函后，凑不齐申报的认购规模，处于尴尬境地，两极分化较严重。</w:t>
      </w:r>
    </w:p>
    <w:p w:rsidR="00D07BB9" w:rsidRDefault="00D07BB9" w:rsidP="00D07BB9">
      <w:pPr>
        <w:pStyle w:val="a6"/>
        <w:shd w:val="clear" w:color="auto" w:fill="FFFFFF"/>
        <w:spacing w:before="0" w:beforeAutospacing="0" w:after="0" w:afterAutospacing="0"/>
        <w:rPr>
          <w:color w:val="333333"/>
          <w:sz w:val="27"/>
          <w:szCs w:val="27"/>
        </w:rPr>
      </w:pPr>
      <w:r>
        <w:rPr>
          <w:rFonts w:hint="eastAsia"/>
          <w:color w:val="333333"/>
          <w:sz w:val="27"/>
          <w:szCs w:val="27"/>
        </w:rPr>
        <w:t xml:space="preserve">　</w:t>
      </w:r>
      <w:r>
        <w:rPr>
          <w:rStyle w:val="a7"/>
          <w:rFonts w:hint="eastAsia"/>
          <w:color w:val="333333"/>
          <w:sz w:val="27"/>
          <w:szCs w:val="27"/>
        </w:rPr>
        <w:t xml:space="preserve">　重点关注潜在风险</w:t>
      </w:r>
    </w:p>
    <w:p w:rsidR="00D07BB9" w:rsidRDefault="00D07BB9" w:rsidP="00D07BB9">
      <w:pPr>
        <w:pStyle w:val="a6"/>
        <w:shd w:val="clear" w:color="auto" w:fill="FFFFFF"/>
        <w:spacing w:before="0" w:beforeAutospacing="0" w:after="0" w:afterAutospacing="0"/>
        <w:rPr>
          <w:color w:val="333333"/>
          <w:sz w:val="27"/>
          <w:szCs w:val="27"/>
        </w:rPr>
      </w:pPr>
      <w:r>
        <w:rPr>
          <w:rFonts w:hint="eastAsia"/>
          <w:color w:val="333333"/>
          <w:sz w:val="27"/>
          <w:szCs w:val="27"/>
        </w:rPr>
        <w:t xml:space="preserve">　　一位私募基金人士指出，ABS投资面临的信用风险有两个方面：项目本身现金流的不确定性，以及项目出表的真实性和可靠性。目前来看，这两个方面都有潜在风险，需要重点关注。</w:t>
      </w:r>
    </w:p>
    <w:p w:rsidR="00D07BB9" w:rsidRDefault="00D07BB9" w:rsidP="00D07BB9">
      <w:pPr>
        <w:pStyle w:val="a6"/>
        <w:shd w:val="clear" w:color="auto" w:fill="FFFFFF"/>
        <w:spacing w:before="0" w:beforeAutospacing="0" w:after="0" w:afterAutospacing="0"/>
        <w:rPr>
          <w:color w:val="333333"/>
          <w:sz w:val="27"/>
          <w:szCs w:val="27"/>
        </w:rPr>
      </w:pPr>
      <w:r>
        <w:rPr>
          <w:rFonts w:hint="eastAsia"/>
          <w:color w:val="333333"/>
          <w:sz w:val="27"/>
          <w:szCs w:val="27"/>
        </w:rPr>
        <w:t xml:space="preserve">　　章凯恺表示，投资ABS需注意基础资产质量必须严格把关，需要检验目标项目资产的真实合法性等要素。有了这个基础，再考虑相应的交易结构、基础资产的质量和相应的风险溢价补偿等细节。在非标资产被资管新规明确限制的背景下，ABS的市场容量有望进一步提升，包括通过产品设计来有效连接长期资产和期限相对较短的理财等资金。行业方面，要密切跟踪国家</w:t>
      </w:r>
      <w:r>
        <w:rPr>
          <w:rFonts w:hint="eastAsia"/>
          <w:color w:val="333333"/>
          <w:sz w:val="27"/>
          <w:szCs w:val="27"/>
        </w:rPr>
        <w:lastRenderedPageBreak/>
        <w:t>有关政策导向，政策鼓励的行业有望继续享受较好的安全性和流动性，同时注意规避再融资风险较大的行业。</w:t>
      </w:r>
    </w:p>
    <w:p w:rsidR="00D07BB9" w:rsidRDefault="00D07BB9" w:rsidP="00D07BB9">
      <w:pPr>
        <w:pStyle w:val="a6"/>
        <w:shd w:val="clear" w:color="auto" w:fill="FFFFFF"/>
        <w:spacing w:before="0" w:beforeAutospacing="0" w:after="0" w:afterAutospacing="0"/>
        <w:rPr>
          <w:color w:val="333333"/>
          <w:sz w:val="27"/>
          <w:szCs w:val="27"/>
        </w:rPr>
      </w:pPr>
      <w:r>
        <w:rPr>
          <w:rFonts w:hint="eastAsia"/>
          <w:color w:val="333333"/>
          <w:sz w:val="27"/>
          <w:szCs w:val="27"/>
        </w:rPr>
        <w:t xml:space="preserve">　　章凯恺认为，目前ABS整体的流动性溢价补偿依然较高，这可能是一个潜在的有利机会。考虑到交易所正通过协议式回购、三方回购等多种方式提高ABS的融资便利性，ABS的流动性提高且流动性溢价随之降低可能是未来发展趋势。</w:t>
      </w:r>
    </w:p>
    <w:p w:rsidR="00D07BB9" w:rsidRDefault="00D07BB9" w:rsidP="00D07BB9">
      <w:pPr>
        <w:pStyle w:val="a6"/>
        <w:shd w:val="clear" w:color="auto" w:fill="FFFFFF"/>
        <w:spacing w:before="0" w:beforeAutospacing="0" w:after="0" w:afterAutospacing="0"/>
        <w:rPr>
          <w:color w:val="333333"/>
          <w:sz w:val="27"/>
          <w:szCs w:val="27"/>
        </w:rPr>
      </w:pPr>
      <w:r>
        <w:rPr>
          <w:rFonts w:hint="eastAsia"/>
          <w:color w:val="333333"/>
          <w:sz w:val="27"/>
          <w:szCs w:val="27"/>
        </w:rPr>
        <w:t xml:space="preserve">　　他表示，发行人通过发行ABS来将资产盘活获现，本身可能是发行人进一步加杠杆的迹象，在整体经济去杠杆尚未结束的大背景下，这种行为本身就意味着一定风险。对于发行人的信用状况和其标的资产未来支付现金的能力，是否受到发行人经营变化的影响需谨慎考察。在条款设计时应充分考虑风险因素，达到保护资金方投资利益的效果。</w:t>
      </w:r>
    </w:p>
    <w:p w:rsidR="00A54A2E" w:rsidRPr="00D07BB9" w:rsidRDefault="00A54A2E" w:rsidP="00A54A2E">
      <w:pPr>
        <w:pStyle w:val="a6"/>
        <w:shd w:val="clear" w:color="auto" w:fill="FFFFFF"/>
        <w:spacing w:before="0" w:beforeAutospacing="0" w:after="0" w:afterAutospacing="0"/>
        <w:rPr>
          <w:color w:val="333333"/>
          <w:sz w:val="27"/>
          <w:szCs w:val="27"/>
        </w:rPr>
      </w:pPr>
    </w:p>
    <w:p w:rsidR="00A54A2E" w:rsidRPr="00A54A2E" w:rsidRDefault="00A54A2E" w:rsidP="00A54A2E"/>
    <w:p w:rsidR="00E44CC5" w:rsidRDefault="00677BE7">
      <w:pPr>
        <w:pStyle w:val="1"/>
        <w:spacing w:before="0"/>
        <w:rPr>
          <w:sz w:val="32"/>
          <w:szCs w:val="32"/>
        </w:rPr>
      </w:pPr>
      <w:bookmarkStart w:id="14" w:name="_Toc515834317"/>
      <w:bookmarkStart w:id="15" w:name="_Toc509217490"/>
      <w:r>
        <w:rPr>
          <w:rFonts w:hint="eastAsia"/>
        </w:rPr>
        <w:t>行业</w:t>
      </w:r>
      <w:r>
        <w:t>新闻</w:t>
      </w:r>
      <w:bookmarkEnd w:id="14"/>
    </w:p>
    <w:p w:rsidR="00A70068" w:rsidRDefault="00A70068" w:rsidP="005265E0">
      <w:pPr>
        <w:pStyle w:val="2"/>
        <w:spacing w:before="0"/>
      </w:pPr>
      <w:bookmarkStart w:id="16" w:name="_Toc515834318"/>
      <w:r w:rsidRPr="00A70068">
        <w:rPr>
          <w:rFonts w:hint="eastAsia"/>
        </w:rPr>
        <w:t>12</w:t>
      </w:r>
      <w:r w:rsidRPr="00A70068">
        <w:rPr>
          <w:rFonts w:hint="eastAsia"/>
        </w:rPr>
        <w:t>家险企获经营资格</w:t>
      </w:r>
      <w:r w:rsidRPr="00A70068">
        <w:rPr>
          <w:rFonts w:hint="eastAsia"/>
        </w:rPr>
        <w:t xml:space="preserve"> </w:t>
      </w:r>
      <w:r w:rsidRPr="00A70068">
        <w:rPr>
          <w:rFonts w:hint="eastAsia"/>
        </w:rPr>
        <w:t>税延养老险首单或下周落地</w:t>
      </w:r>
      <w:bookmarkEnd w:id="16"/>
    </w:p>
    <w:p w:rsidR="00A70068" w:rsidRDefault="00A70068" w:rsidP="00A70068">
      <w:pPr>
        <w:pStyle w:val="a6"/>
        <w:shd w:val="clear" w:color="auto" w:fill="FFFFFF"/>
        <w:spacing w:before="0" w:beforeAutospacing="0" w:after="0" w:afterAutospacing="0"/>
        <w:ind w:firstLineChars="200" w:firstLine="540"/>
        <w:rPr>
          <w:color w:val="333333"/>
          <w:sz w:val="27"/>
          <w:szCs w:val="27"/>
        </w:rPr>
      </w:pPr>
      <w:r>
        <w:rPr>
          <w:rFonts w:hint="eastAsia"/>
          <w:color w:val="333333"/>
          <w:sz w:val="27"/>
          <w:szCs w:val="27"/>
        </w:rPr>
        <w:t>随着首批12家保险公司获批经营资格，个人税收递延型商业养老保险（下称“税延养老保险”）业务试点即将进入销售阶段。业内人士预计，税延养老保险首单或于下周率先在上海落地。</w:t>
      </w:r>
    </w:p>
    <w:p w:rsidR="00A70068" w:rsidRDefault="00A70068" w:rsidP="00A70068">
      <w:pPr>
        <w:pStyle w:val="a6"/>
        <w:shd w:val="clear" w:color="auto" w:fill="FFFFFF"/>
        <w:spacing w:before="0" w:beforeAutospacing="0" w:after="0" w:afterAutospacing="0"/>
        <w:rPr>
          <w:color w:val="333333"/>
          <w:sz w:val="27"/>
          <w:szCs w:val="27"/>
        </w:rPr>
      </w:pPr>
      <w:r>
        <w:rPr>
          <w:rFonts w:hint="eastAsia"/>
          <w:color w:val="333333"/>
          <w:sz w:val="27"/>
          <w:szCs w:val="27"/>
        </w:rPr>
        <w:t xml:space="preserve">　　中国银保监会近日对保险公司报送的开展税延养老保险的业务报告进行了认真核对，共有12家保险公司符合经营要求。根据银保监会昨日公示，首批获得经营资格的12家保险公司包括：中国人寿、太平洋人寿、平安养老、新华人寿、太平养老、太平人寿、泰康养老、泰康人寿、阳光人寿、中信保诚、中意人寿、英大人寿。</w:t>
      </w:r>
    </w:p>
    <w:p w:rsidR="00A70068" w:rsidRDefault="00A70068" w:rsidP="00A70068">
      <w:pPr>
        <w:pStyle w:val="a6"/>
        <w:shd w:val="clear" w:color="auto" w:fill="FFFFFF"/>
        <w:spacing w:before="0" w:beforeAutospacing="0" w:after="0" w:afterAutospacing="0"/>
        <w:rPr>
          <w:color w:val="333333"/>
          <w:sz w:val="27"/>
          <w:szCs w:val="27"/>
        </w:rPr>
      </w:pPr>
      <w:r>
        <w:rPr>
          <w:rFonts w:hint="eastAsia"/>
          <w:color w:val="333333"/>
          <w:sz w:val="27"/>
          <w:szCs w:val="27"/>
        </w:rPr>
        <w:t xml:space="preserve">　　由于税延养老保险具有特殊的政策性与惠民性，对其承接保险公司的整体实力和经营状态有非常高的要求，因此银保监会对申请开办的保险机构提出了涵盖注册资本、偿付能力、服务</w:t>
      </w:r>
      <w:r>
        <w:rPr>
          <w:rFonts w:hint="eastAsia"/>
          <w:color w:val="333333"/>
          <w:sz w:val="27"/>
          <w:szCs w:val="27"/>
        </w:rPr>
        <w:lastRenderedPageBreak/>
        <w:t>网络、养老资金管理经验等在内的12项要求。太平洋人寿副总经理郁华坦言，银保监会对经营税延养老保险业务经营资质的审批不仅标准高、要求细，而且很全面。</w:t>
      </w:r>
    </w:p>
    <w:p w:rsidR="00A70068" w:rsidRDefault="00A70068" w:rsidP="00A70068">
      <w:pPr>
        <w:pStyle w:val="a6"/>
        <w:shd w:val="clear" w:color="auto" w:fill="FFFFFF"/>
        <w:spacing w:before="0" w:beforeAutospacing="0" w:after="0" w:afterAutospacing="0"/>
        <w:rPr>
          <w:color w:val="333333"/>
          <w:sz w:val="27"/>
          <w:szCs w:val="27"/>
        </w:rPr>
      </w:pPr>
      <w:r>
        <w:rPr>
          <w:rFonts w:hint="eastAsia"/>
          <w:color w:val="333333"/>
          <w:sz w:val="27"/>
          <w:szCs w:val="27"/>
        </w:rPr>
        <w:t xml:space="preserve">　　不难发现，上述12家保险公司均为较早一批参与讨论研究税延养老保险课题的保险公司。根据相关程序，这12家保险公司可立即报批税延养老保险产品，产品获得批准后即可正式启动销售。有保险公司乐观预计：“首单最早本周末落地，但从目前进展来看，下周可能性似乎更大。”</w:t>
      </w:r>
    </w:p>
    <w:p w:rsidR="00A70068" w:rsidRDefault="00A70068" w:rsidP="00A70068">
      <w:pPr>
        <w:pStyle w:val="a6"/>
        <w:shd w:val="clear" w:color="auto" w:fill="FFFFFF"/>
        <w:spacing w:before="0" w:beforeAutospacing="0" w:after="0" w:afterAutospacing="0"/>
        <w:rPr>
          <w:color w:val="333333"/>
          <w:sz w:val="27"/>
          <w:szCs w:val="27"/>
        </w:rPr>
      </w:pPr>
      <w:r>
        <w:rPr>
          <w:rFonts w:hint="eastAsia"/>
          <w:color w:val="333333"/>
          <w:sz w:val="27"/>
          <w:szCs w:val="27"/>
        </w:rPr>
        <w:t xml:space="preserve">　　至于具有里程碑意义的税延养老保险产品首单，究竟会出自哪家保险公司？获批经营资格的各家保险公司可谓争分夺秒。</w:t>
      </w:r>
    </w:p>
    <w:p w:rsidR="00A70068" w:rsidRDefault="00A70068" w:rsidP="00A70068">
      <w:pPr>
        <w:pStyle w:val="a6"/>
        <w:shd w:val="clear" w:color="auto" w:fill="FFFFFF"/>
        <w:spacing w:before="0" w:beforeAutospacing="0" w:after="0" w:afterAutospacing="0"/>
        <w:rPr>
          <w:color w:val="333333"/>
          <w:sz w:val="27"/>
          <w:szCs w:val="27"/>
        </w:rPr>
      </w:pPr>
      <w:r>
        <w:rPr>
          <w:rFonts w:hint="eastAsia"/>
          <w:color w:val="333333"/>
          <w:sz w:val="27"/>
          <w:szCs w:val="27"/>
        </w:rPr>
        <w:t xml:space="preserve">　　其中，太平洋人寿、太平人寿、平安养老、太平养老、阳光人寿等首批获经营资格的保险公司向上证报记者表示，在产品、技术、人才、服务等方面做好了充分准备，待产品获得批准后，即可第一时间在上海市、福建省（含厦门）、苏州工业园区三个试点区域启动销售。</w:t>
      </w:r>
    </w:p>
    <w:p w:rsidR="00A70068" w:rsidRDefault="00A70068" w:rsidP="00A70068">
      <w:pPr>
        <w:pStyle w:val="a6"/>
        <w:shd w:val="clear" w:color="auto" w:fill="FFFFFF"/>
        <w:spacing w:before="0" w:beforeAutospacing="0" w:after="0" w:afterAutospacing="0"/>
        <w:rPr>
          <w:color w:val="333333"/>
          <w:sz w:val="27"/>
          <w:szCs w:val="27"/>
        </w:rPr>
      </w:pPr>
      <w:r>
        <w:rPr>
          <w:rFonts w:hint="eastAsia"/>
          <w:color w:val="333333"/>
          <w:sz w:val="27"/>
          <w:szCs w:val="27"/>
        </w:rPr>
        <w:t xml:space="preserve">　　便捷的线上线下投保流程将是试点的一大创新。据了解，有保险公司特别设计开发了支持移动端、PC端的税延养老保险投保系统，并支持微信端购买，让投保真正实现“零距离”。也有保险公司会将人脸识别、智能客服、移动投保等创新技术引入税延养老保险服务中，保障客户信息和资金的安全，操作流程方便快捷，提升消费者的体验和获得感。</w:t>
      </w:r>
    </w:p>
    <w:p w:rsidR="00A70068" w:rsidRDefault="00A70068" w:rsidP="00A70068">
      <w:pPr>
        <w:pStyle w:val="a6"/>
        <w:shd w:val="clear" w:color="auto" w:fill="FFFFFF"/>
        <w:spacing w:before="0" w:beforeAutospacing="0" w:after="0" w:afterAutospacing="0"/>
        <w:rPr>
          <w:color w:val="333333"/>
          <w:sz w:val="27"/>
          <w:szCs w:val="27"/>
        </w:rPr>
      </w:pPr>
      <w:r>
        <w:rPr>
          <w:rFonts w:hint="eastAsia"/>
          <w:color w:val="333333"/>
          <w:sz w:val="27"/>
          <w:szCs w:val="27"/>
        </w:rPr>
        <w:t xml:space="preserve">　　根据银保监会的要求，进入首批名单的保险公司要严格按照相关规定，切实做到依法合规、安全稳健，做好税延养老保险业务的经营管理。</w:t>
      </w:r>
    </w:p>
    <w:p w:rsidR="00A70068" w:rsidRPr="00A70068" w:rsidRDefault="00A70068" w:rsidP="00A70068"/>
    <w:p w:rsidR="005265E0" w:rsidRPr="005265E0" w:rsidRDefault="005265E0" w:rsidP="005265E0">
      <w:pPr>
        <w:pStyle w:val="2"/>
        <w:spacing w:before="0"/>
      </w:pPr>
      <w:bookmarkStart w:id="17" w:name="_Toc515834319"/>
      <w:r w:rsidRPr="005265E0">
        <w:t>中国平安与深圳市政府签署战略合作协议</w:t>
      </w:r>
      <w:r w:rsidRPr="005265E0">
        <w:t xml:space="preserve"> </w:t>
      </w:r>
      <w:r w:rsidRPr="005265E0">
        <w:t>在前海设</w:t>
      </w:r>
      <w:r w:rsidRPr="005265E0">
        <w:t>1500</w:t>
      </w:r>
      <w:r w:rsidRPr="005265E0">
        <w:t>亿发展基金</w:t>
      </w:r>
      <w:bookmarkEnd w:id="17"/>
    </w:p>
    <w:p w:rsidR="005265E0" w:rsidRDefault="005265E0" w:rsidP="005265E0">
      <w:pPr>
        <w:pStyle w:val="a6"/>
        <w:shd w:val="clear" w:color="auto" w:fill="FFFFFF"/>
        <w:spacing w:before="0" w:beforeAutospacing="0" w:after="0" w:afterAutospacing="0"/>
        <w:ind w:firstLineChars="200" w:firstLine="540"/>
        <w:rPr>
          <w:color w:val="333333"/>
          <w:sz w:val="27"/>
          <w:szCs w:val="27"/>
        </w:rPr>
      </w:pPr>
      <w:r>
        <w:rPr>
          <w:rFonts w:hint="eastAsia"/>
          <w:color w:val="333333"/>
          <w:sz w:val="27"/>
          <w:szCs w:val="27"/>
        </w:rPr>
        <w:t>中国证券网讯（记者 黄蕾）5月31日，中国平安宣布已于近日与深圳市政府签署战略合作框架协议，双方将建立长期、稳定、共赢的全面战略合作伙伴关系，不断扩展和深化双方多</w:t>
      </w:r>
      <w:r>
        <w:rPr>
          <w:rFonts w:hint="eastAsia"/>
          <w:color w:val="333333"/>
          <w:sz w:val="27"/>
          <w:szCs w:val="27"/>
        </w:rPr>
        <w:lastRenderedPageBreak/>
        <w:t>领域、多层面的合作。深圳市委书记王伟中、市长陈如桂，平安集团董事长兼首席执行官马明哲、总经理任汇川等出席签署仪式。</w:t>
      </w:r>
    </w:p>
    <w:p w:rsidR="005265E0" w:rsidRDefault="005265E0" w:rsidP="005265E0">
      <w:pPr>
        <w:pStyle w:val="a6"/>
        <w:shd w:val="clear" w:color="auto" w:fill="FFFFFF"/>
        <w:spacing w:before="0" w:beforeAutospacing="0" w:after="0" w:afterAutospacing="0"/>
        <w:rPr>
          <w:color w:val="333333"/>
          <w:sz w:val="27"/>
          <w:szCs w:val="27"/>
        </w:rPr>
      </w:pPr>
      <w:r>
        <w:rPr>
          <w:rFonts w:hint="eastAsia"/>
          <w:color w:val="333333"/>
          <w:sz w:val="27"/>
          <w:szCs w:val="27"/>
        </w:rPr>
        <w:t xml:space="preserve">　　根据协议，双方未来将在广东平安发展基金、现代园区合作、智慧城市建设三大领域进行重点合作。</w:t>
      </w:r>
    </w:p>
    <w:p w:rsidR="005265E0" w:rsidRDefault="005265E0" w:rsidP="005265E0">
      <w:pPr>
        <w:pStyle w:val="a6"/>
        <w:shd w:val="clear" w:color="auto" w:fill="FFFFFF"/>
        <w:spacing w:before="0" w:beforeAutospacing="0" w:after="0" w:afterAutospacing="0"/>
        <w:rPr>
          <w:color w:val="333333"/>
          <w:sz w:val="27"/>
          <w:szCs w:val="27"/>
        </w:rPr>
      </w:pPr>
      <w:r>
        <w:rPr>
          <w:rFonts w:hint="eastAsia"/>
          <w:color w:val="333333"/>
          <w:sz w:val="27"/>
          <w:szCs w:val="27"/>
        </w:rPr>
        <w:t xml:space="preserve">　　其中，中国平安将于深圳前海设立广东平安发展基金，基金整体规模1500亿，主要用于投资大型基础设施，包括但不限于智慧城市建设、高快速铁路、城际铁路、机场等。</w:t>
      </w:r>
    </w:p>
    <w:p w:rsidR="005265E0" w:rsidRDefault="005265E0" w:rsidP="005265E0">
      <w:pPr>
        <w:pStyle w:val="a6"/>
        <w:shd w:val="clear" w:color="auto" w:fill="FFFFFF"/>
        <w:spacing w:before="0" w:beforeAutospacing="0" w:after="0" w:afterAutospacing="0"/>
        <w:rPr>
          <w:color w:val="333333"/>
          <w:sz w:val="27"/>
          <w:szCs w:val="27"/>
        </w:rPr>
      </w:pPr>
      <w:r>
        <w:rPr>
          <w:rFonts w:hint="eastAsia"/>
          <w:color w:val="333333"/>
          <w:sz w:val="27"/>
          <w:szCs w:val="27"/>
        </w:rPr>
        <w:t xml:space="preserve">　　此外，中国平安还将牵头旗下各子公司，充分发挥综合金融优势，不断扩展、深化与深圳市政府在投融资业务、民生社会保障、机构营业网点设立、结算业务、金融机构业务及支付业务、科技金融创新业务等多领域、多层面的合作，为深圳经济社会发展提供优先、优质的综合金融服务。</w:t>
      </w:r>
    </w:p>
    <w:p w:rsidR="005265E0" w:rsidRDefault="005265E0" w:rsidP="005265E0">
      <w:pPr>
        <w:pStyle w:val="a6"/>
        <w:shd w:val="clear" w:color="auto" w:fill="FFFFFF"/>
        <w:spacing w:before="0" w:beforeAutospacing="0" w:after="0" w:afterAutospacing="0"/>
        <w:rPr>
          <w:color w:val="333333"/>
          <w:sz w:val="27"/>
          <w:szCs w:val="27"/>
        </w:rPr>
      </w:pPr>
      <w:r>
        <w:rPr>
          <w:rFonts w:hint="eastAsia"/>
          <w:color w:val="333333"/>
          <w:sz w:val="27"/>
          <w:szCs w:val="27"/>
        </w:rPr>
        <w:t xml:space="preserve">　　中国平安积极响应国家关于保险资金参与重大基础设施建设的号召，不断探索金融创新模式，深入挖掘保险资金与政府资金相结合，协助政府不断加快在基础设施相关领域的投资建设。</w:t>
      </w:r>
    </w:p>
    <w:p w:rsidR="005265E0" w:rsidRDefault="005265E0" w:rsidP="005265E0">
      <w:pPr>
        <w:pStyle w:val="a6"/>
        <w:shd w:val="clear" w:color="auto" w:fill="FFFFFF"/>
        <w:spacing w:before="0" w:beforeAutospacing="0" w:after="0" w:afterAutospacing="0"/>
        <w:rPr>
          <w:color w:val="333333"/>
          <w:sz w:val="27"/>
          <w:szCs w:val="27"/>
        </w:rPr>
      </w:pPr>
      <w:r>
        <w:rPr>
          <w:rFonts w:hint="eastAsia"/>
          <w:color w:val="333333"/>
          <w:sz w:val="27"/>
          <w:szCs w:val="27"/>
        </w:rPr>
        <w:t xml:space="preserve">　　基于2017年中国平安与深圳市大鹏新区管理委员会签订的《深圳国际生物谷坝光核心启动区项目合作框架协议》，为深入贯彻落实深圳市新一轮发展规划，更好地发挥中国平安作为科技型金融集团的企业作用，推动深圳东部地区高质量快速发展，本次签约进一步深化了双方关于深圳国际生物谷的项目合作，进一步扩展了双方在综合性现代产业园区的合作范围，助力深圳建设成为现代化国际化创新型城市和国际科技产业创新中心。</w:t>
      </w:r>
    </w:p>
    <w:p w:rsidR="005265E0" w:rsidRDefault="005265E0" w:rsidP="005265E0">
      <w:pPr>
        <w:pStyle w:val="a6"/>
        <w:shd w:val="clear" w:color="auto" w:fill="FFFFFF"/>
        <w:spacing w:before="0" w:beforeAutospacing="0" w:after="0" w:afterAutospacing="0"/>
        <w:rPr>
          <w:color w:val="333333"/>
          <w:sz w:val="27"/>
          <w:szCs w:val="27"/>
        </w:rPr>
      </w:pPr>
      <w:r>
        <w:rPr>
          <w:rFonts w:hint="eastAsia"/>
          <w:color w:val="333333"/>
          <w:sz w:val="27"/>
          <w:szCs w:val="27"/>
        </w:rPr>
        <w:t xml:space="preserve">　　与此同时，中国平安还将充分发挥在生物识别、大数据、人工智能、区块链及云技术等方面的优势，积极参与深圳市智慧城市建设，涉及智慧政务、智慧生活、智慧财政、智慧医疗、智慧安防、智慧交通、智慧口岸、智慧房产、智慧教育等方面，帮助各级政府提升城市管理和市民服务的能力。作为第四届深圳中国国际智慧城市博览会的联合主办方，平安智慧城以“智慧、智理、智效”三位一体的独创理念，帮助深圳构建了“1+N”智慧城市云平台体系，切实做到服务国家、服务实体、服务大众。</w:t>
      </w:r>
    </w:p>
    <w:p w:rsidR="005265E0" w:rsidRDefault="005265E0" w:rsidP="005265E0">
      <w:pPr>
        <w:pStyle w:val="a6"/>
        <w:shd w:val="clear" w:color="auto" w:fill="FFFFFF"/>
        <w:spacing w:before="0" w:beforeAutospacing="0" w:after="0" w:afterAutospacing="0"/>
        <w:rPr>
          <w:color w:val="333333"/>
          <w:sz w:val="27"/>
          <w:szCs w:val="27"/>
        </w:rPr>
      </w:pPr>
      <w:r>
        <w:rPr>
          <w:rFonts w:hint="eastAsia"/>
          <w:color w:val="333333"/>
          <w:sz w:val="27"/>
          <w:szCs w:val="27"/>
        </w:rPr>
        <w:lastRenderedPageBreak/>
        <w:t xml:space="preserve">　　截至目前，平安已经与西藏自治区、重庆市、南宁市，以及深圳市公安局、市场监管委等达成战略合作，共同推进智慧城市建设，并在深圳的多个智慧城市建设领域取得了良好的社会效应。</w:t>
      </w:r>
    </w:p>
    <w:p w:rsidR="005265E0" w:rsidRDefault="005265E0" w:rsidP="005265E0">
      <w:pPr>
        <w:pStyle w:val="a6"/>
        <w:shd w:val="clear" w:color="auto" w:fill="FFFFFF"/>
        <w:spacing w:before="0" w:beforeAutospacing="0" w:after="0" w:afterAutospacing="0"/>
        <w:rPr>
          <w:color w:val="333333"/>
          <w:sz w:val="27"/>
          <w:szCs w:val="27"/>
        </w:rPr>
      </w:pPr>
      <w:r>
        <w:rPr>
          <w:rFonts w:hint="eastAsia"/>
          <w:color w:val="333333"/>
          <w:sz w:val="27"/>
          <w:szCs w:val="27"/>
        </w:rPr>
        <w:t xml:space="preserve">　　在智慧交管领域，平安助力深圳交警五一期间试行大鹏半岛“预约通行”项目，实现拥堵警情下降26%，路况动态预测准确率超过90%；在智慧医疗领域，智能疾病预测平台实现深圳流感预测准确率超过90%；在智慧口岸领域，AI水客监测平台实现深圳水客走私查获率从7%提升为48%；在智慧生活领域，深圳市民线上服务统一入口“我的深圳”APP，为市民提供700余项政务与便民服务，多次获深圳市各级领导高度认可。</w:t>
      </w:r>
    </w:p>
    <w:p w:rsidR="005265E0" w:rsidRDefault="005265E0" w:rsidP="005265E0">
      <w:pPr>
        <w:pStyle w:val="a6"/>
        <w:shd w:val="clear" w:color="auto" w:fill="FFFFFF"/>
        <w:spacing w:before="0" w:beforeAutospacing="0" w:after="0" w:afterAutospacing="0"/>
        <w:rPr>
          <w:color w:val="333333"/>
          <w:sz w:val="27"/>
          <w:szCs w:val="27"/>
        </w:rPr>
      </w:pPr>
      <w:r>
        <w:rPr>
          <w:rFonts w:hint="eastAsia"/>
          <w:color w:val="333333"/>
          <w:sz w:val="27"/>
          <w:szCs w:val="27"/>
        </w:rPr>
        <w:t xml:space="preserve">　　中国平安表示，今年是公司成立30周年，30年的发展得益于中国经济的高速发展和改革开放的时代机遇，离不开社会、股东、客户的大力支持。在智能科技时代，平安将不忘初心，积极参与智慧城市建设，更好履行社会责任。</w:t>
      </w:r>
    </w:p>
    <w:p w:rsidR="005265E0" w:rsidRDefault="005265E0" w:rsidP="005265E0">
      <w:pPr>
        <w:pStyle w:val="a6"/>
        <w:shd w:val="clear" w:color="auto" w:fill="FFFFFF"/>
        <w:spacing w:before="0" w:beforeAutospacing="0" w:after="0" w:afterAutospacing="0"/>
        <w:rPr>
          <w:color w:val="333333"/>
          <w:sz w:val="27"/>
          <w:szCs w:val="27"/>
        </w:rPr>
      </w:pPr>
      <w:r>
        <w:rPr>
          <w:rFonts w:hint="eastAsia"/>
          <w:color w:val="333333"/>
          <w:sz w:val="27"/>
          <w:szCs w:val="27"/>
        </w:rPr>
        <w:t xml:space="preserve">　　本次框架协议的签署，是平安集团与深圳市政府深度合作的一个重大里程碑，为双方建立长期、稳定、共赢的全面战略合作伙伴关系打下了坚实基础。平安集团将把深圳作为业务发展的重点区域，牵头集团各子公司，充分发挥综合金融优势，努力推进“智慧深圳”的建设。</w:t>
      </w:r>
    </w:p>
    <w:p w:rsidR="000E6808" w:rsidRPr="000E6808" w:rsidRDefault="000E6808" w:rsidP="000E6808">
      <w:pPr>
        <w:pStyle w:val="2"/>
        <w:spacing w:before="0"/>
      </w:pPr>
      <w:bookmarkStart w:id="18" w:name="_Toc515834320"/>
      <w:r w:rsidRPr="000E6808">
        <w:t>A</w:t>
      </w:r>
      <w:r w:rsidRPr="000E6808">
        <w:t>股纳入</w:t>
      </w:r>
      <w:r w:rsidRPr="000E6808">
        <w:t>MSCI</w:t>
      </w:r>
      <w:r w:rsidRPr="000E6808">
        <w:t>启动会</w:t>
      </w:r>
      <w:r w:rsidRPr="000E6808">
        <w:rPr>
          <w:rFonts w:hint="eastAsia"/>
        </w:rPr>
        <w:t>5</w:t>
      </w:r>
      <w:r w:rsidRPr="000E6808">
        <w:rPr>
          <w:rFonts w:hint="eastAsia"/>
        </w:rPr>
        <w:t>月</w:t>
      </w:r>
      <w:r w:rsidRPr="000E6808">
        <w:rPr>
          <w:rFonts w:hint="eastAsia"/>
        </w:rPr>
        <w:t>31</w:t>
      </w:r>
      <w:r w:rsidRPr="000E6808">
        <w:rPr>
          <w:rFonts w:hint="eastAsia"/>
        </w:rPr>
        <w:t>日</w:t>
      </w:r>
      <w:r w:rsidRPr="000E6808">
        <w:t>在上交所举行</w:t>
      </w:r>
      <w:bookmarkEnd w:id="18"/>
    </w:p>
    <w:p w:rsidR="000E6808" w:rsidRDefault="000E6808" w:rsidP="000E6808">
      <w:pPr>
        <w:pStyle w:val="a6"/>
        <w:shd w:val="clear" w:color="auto" w:fill="FFFFFF"/>
        <w:spacing w:before="0" w:beforeAutospacing="0" w:after="0" w:afterAutospacing="0"/>
        <w:ind w:firstLineChars="200" w:firstLine="540"/>
        <w:rPr>
          <w:color w:val="333333"/>
          <w:sz w:val="27"/>
          <w:szCs w:val="27"/>
        </w:rPr>
      </w:pPr>
      <w:r>
        <w:rPr>
          <w:rFonts w:hint="eastAsia"/>
          <w:color w:val="333333"/>
          <w:sz w:val="27"/>
          <w:szCs w:val="27"/>
        </w:rPr>
        <w:t>五年磨剑，终谱华章。2018年5月31日收盘后，A股正式纳入MSCI新兴市场指数。这是自2013年6月份MSCI启动A股纳入MSCI新兴市场指数全球征询后的首次正式纳入。</w:t>
      </w:r>
    </w:p>
    <w:p w:rsidR="000E6808" w:rsidRDefault="000E6808" w:rsidP="000E6808">
      <w:pPr>
        <w:pStyle w:val="a6"/>
        <w:shd w:val="clear" w:color="auto" w:fill="FFFFFF"/>
        <w:spacing w:before="0" w:beforeAutospacing="0" w:after="0" w:afterAutospacing="0"/>
        <w:rPr>
          <w:color w:val="333333"/>
          <w:sz w:val="27"/>
          <w:szCs w:val="27"/>
        </w:rPr>
      </w:pPr>
      <w:r>
        <w:rPr>
          <w:rFonts w:hint="eastAsia"/>
          <w:color w:val="333333"/>
          <w:sz w:val="27"/>
          <w:szCs w:val="27"/>
        </w:rPr>
        <w:t xml:space="preserve">　　昨日收盘后，上海证券交易所交易大厅举行了简短而隆重的启动会，来自上海市政府、MSCI、沪深交易所的有关负责人以及境内外约80家金融机构的代表共同见证了这一中国资本市场对外开放的又一标志性时刻。上海证券交易所总经理蒋锋、深圳证券交易所副总经理李辉以及MSCI董事局主席兼首席执行官亨利·费尔南德兹发表了致辞。</w:t>
      </w:r>
    </w:p>
    <w:p w:rsidR="000E6808" w:rsidRDefault="000E6808" w:rsidP="000E6808">
      <w:pPr>
        <w:pStyle w:val="a6"/>
        <w:shd w:val="clear" w:color="auto" w:fill="FFFFFF"/>
        <w:spacing w:before="0" w:beforeAutospacing="0" w:after="0" w:afterAutospacing="0"/>
        <w:rPr>
          <w:color w:val="333333"/>
          <w:sz w:val="27"/>
          <w:szCs w:val="27"/>
        </w:rPr>
      </w:pPr>
      <w:r>
        <w:rPr>
          <w:rFonts w:hint="eastAsia"/>
          <w:color w:val="333333"/>
          <w:sz w:val="27"/>
          <w:szCs w:val="27"/>
        </w:rPr>
        <w:t xml:space="preserve">　　蒋锋表示，A股纳入MSCI之路历久弥坚，笃志而行，是中国股票市场迈向国际化的重要一步。今天的成功纳入，源于QFII、RQFII以及沪港通等多种投资渠道的建设、各项交易制度的</w:t>
      </w:r>
      <w:r>
        <w:rPr>
          <w:rFonts w:hint="eastAsia"/>
          <w:color w:val="333333"/>
          <w:sz w:val="27"/>
          <w:szCs w:val="27"/>
        </w:rPr>
        <w:lastRenderedPageBreak/>
        <w:t>完善和政策的开放，更源于国际投资者对中国资本市场改革开放成果的认可，印证了中国资本市场正逐渐扩大的国际知名度和国际影响力。</w:t>
      </w:r>
    </w:p>
    <w:p w:rsidR="000E6808" w:rsidRDefault="000E6808" w:rsidP="000E6808">
      <w:pPr>
        <w:pStyle w:val="a6"/>
        <w:shd w:val="clear" w:color="auto" w:fill="FFFFFF"/>
        <w:spacing w:before="0" w:beforeAutospacing="0" w:after="0" w:afterAutospacing="0"/>
        <w:rPr>
          <w:color w:val="333333"/>
          <w:sz w:val="27"/>
          <w:szCs w:val="27"/>
        </w:rPr>
      </w:pPr>
      <w:r>
        <w:rPr>
          <w:rFonts w:hint="eastAsia"/>
          <w:color w:val="333333"/>
          <w:sz w:val="27"/>
          <w:szCs w:val="27"/>
        </w:rPr>
        <w:t xml:space="preserve">　　“今天的成功纳入，不是终点而是起点。”蒋锋说，上交所将继续坚持市场化、法治化、国际化的改革方向，积极探索交易所国际化的新模式、新机制、新思路，努力建设成为与中国特色社会主义现代化强国相匹配的世界领先交易所，推进我国资本市场向现代化的、既具有中国特色、更富有全球竞争力的多层次资本市场迈进。</w:t>
      </w:r>
    </w:p>
    <w:p w:rsidR="000E6808" w:rsidRDefault="000E6808" w:rsidP="000E6808">
      <w:pPr>
        <w:pStyle w:val="a6"/>
        <w:shd w:val="clear" w:color="auto" w:fill="FFFFFF"/>
        <w:spacing w:before="0" w:beforeAutospacing="0" w:after="0" w:afterAutospacing="0"/>
        <w:rPr>
          <w:color w:val="333333"/>
          <w:sz w:val="27"/>
          <w:szCs w:val="27"/>
        </w:rPr>
      </w:pPr>
      <w:r>
        <w:rPr>
          <w:rFonts w:hint="eastAsia"/>
          <w:color w:val="333333"/>
          <w:sz w:val="27"/>
          <w:szCs w:val="27"/>
        </w:rPr>
        <w:t xml:space="preserve">　　李辉表示，引入境外投资者是中国资本市场以开放促改革的重要方式，证券交易所作为资本市场的核心机构和重要平台，在其中发挥着重要作用。深交所积极回应市场关切，持续推动制度、服务与国际接轨，以更优质的产品和服务对接更广泛的境外投资者群体。</w:t>
      </w:r>
    </w:p>
    <w:p w:rsidR="000E6808" w:rsidRDefault="000E6808" w:rsidP="000E6808">
      <w:pPr>
        <w:pStyle w:val="a6"/>
        <w:shd w:val="clear" w:color="auto" w:fill="FFFFFF"/>
        <w:spacing w:before="0" w:beforeAutospacing="0" w:after="0" w:afterAutospacing="0"/>
        <w:rPr>
          <w:color w:val="333333"/>
          <w:sz w:val="27"/>
          <w:szCs w:val="27"/>
        </w:rPr>
      </w:pPr>
      <w:r>
        <w:rPr>
          <w:rFonts w:hint="eastAsia"/>
          <w:color w:val="333333"/>
          <w:sz w:val="27"/>
          <w:szCs w:val="27"/>
        </w:rPr>
        <w:t xml:space="preserve">　　亨利·费尔南德兹指出，中国的金融市场纳入全球的金融体系是21世纪上半叶最重要的金融事件之一。全球第二大股票市场和全球第三大债券市场融入全球资本市场的影响将是巨大的。</w:t>
      </w:r>
    </w:p>
    <w:p w:rsidR="000E6808" w:rsidRDefault="000E6808" w:rsidP="000E6808">
      <w:pPr>
        <w:pStyle w:val="a6"/>
        <w:shd w:val="clear" w:color="auto" w:fill="FFFFFF"/>
        <w:spacing w:before="0" w:beforeAutospacing="0" w:after="0" w:afterAutospacing="0"/>
        <w:rPr>
          <w:color w:val="333333"/>
          <w:sz w:val="27"/>
          <w:szCs w:val="27"/>
        </w:rPr>
      </w:pPr>
      <w:r>
        <w:rPr>
          <w:rFonts w:hint="eastAsia"/>
          <w:color w:val="333333"/>
          <w:sz w:val="27"/>
          <w:szCs w:val="27"/>
        </w:rPr>
        <w:t xml:space="preserve">　　“除了中国资本市场的改革开放之外，我也相信国际投资者将在投资中国的过程中，提升专业水准，增长投资经验。”亨利·费尔南德兹说，未来，MSCI将努力理解并鼓励这些资本市场改革开放的步伐。“我希望这可以推动中国A股以更少的步骤更大的规模纳入MSCI。”</w:t>
      </w:r>
    </w:p>
    <w:p w:rsidR="000E6808" w:rsidRDefault="000E6808" w:rsidP="000E6808">
      <w:pPr>
        <w:pStyle w:val="a6"/>
        <w:shd w:val="clear" w:color="auto" w:fill="FFFFFF"/>
        <w:spacing w:before="0" w:beforeAutospacing="0" w:after="0" w:afterAutospacing="0"/>
        <w:rPr>
          <w:color w:val="333333"/>
          <w:sz w:val="27"/>
          <w:szCs w:val="27"/>
        </w:rPr>
      </w:pPr>
      <w:r>
        <w:rPr>
          <w:rFonts w:hint="eastAsia"/>
          <w:color w:val="333333"/>
          <w:sz w:val="27"/>
          <w:szCs w:val="27"/>
        </w:rPr>
        <w:t xml:space="preserve">　　昨日盘后数据显示，市场运行平稳，总体表现为持续上涨，上证综指最高3098.08点，最大涨幅1.86%，收报3095.47点，涨幅1.78%，成交1851.99亿元，较上一交易日小幅减少。沪市MSCI纳A板块上涨1.81%，成交760亿元，较上一交易日增加14%。</w:t>
      </w:r>
    </w:p>
    <w:p w:rsidR="000E6808" w:rsidRDefault="000E6808" w:rsidP="000E6808">
      <w:pPr>
        <w:pStyle w:val="a6"/>
        <w:shd w:val="clear" w:color="auto" w:fill="FFFFFF"/>
        <w:spacing w:before="0" w:beforeAutospacing="0" w:after="0" w:afterAutospacing="0"/>
        <w:rPr>
          <w:color w:val="333333"/>
          <w:sz w:val="27"/>
          <w:szCs w:val="27"/>
        </w:rPr>
      </w:pPr>
      <w:r>
        <w:rPr>
          <w:rFonts w:hint="eastAsia"/>
          <w:color w:val="333333"/>
          <w:sz w:val="27"/>
          <w:szCs w:val="27"/>
        </w:rPr>
        <w:t xml:space="preserve">　　从资金流入情况看，沪股通流入MSCI纳A板块金额明显放大，买入金额增加至112.7亿元，创年内单日最高，约为近一个月平均水平（44亿元）的2.5倍，146只样本股上涨率91%，无个股涨停，涨幅超过5%的个股仅7只。从尾盘表现看，最后5分钟，MSCI纳A板块上涨0.13%，推动上证综指上涨2.94个点，涨幅0.1%。沪股通买入MSCI纳A板块金额20.28亿元，占其全天买入金额的18%。</w:t>
      </w:r>
    </w:p>
    <w:p w:rsidR="000E6808" w:rsidRDefault="000E6808" w:rsidP="000E6808">
      <w:pPr>
        <w:pStyle w:val="a6"/>
        <w:shd w:val="clear" w:color="auto" w:fill="FFFFFF"/>
        <w:spacing w:before="0" w:beforeAutospacing="0" w:after="0" w:afterAutospacing="0"/>
        <w:rPr>
          <w:color w:val="333333"/>
          <w:sz w:val="27"/>
          <w:szCs w:val="27"/>
        </w:rPr>
      </w:pPr>
      <w:r>
        <w:rPr>
          <w:rFonts w:hint="eastAsia"/>
          <w:color w:val="333333"/>
          <w:sz w:val="27"/>
          <w:szCs w:val="27"/>
        </w:rPr>
        <w:lastRenderedPageBreak/>
        <w:t xml:space="preserve">　　据了解，主要被动基金已完成建仓。上交所全力维护市场稳定运行，基本实现了A股纳入MSCI指数的平稳过渡。</w:t>
      </w:r>
    </w:p>
    <w:p w:rsidR="00FE7CB4" w:rsidRPr="000E6808" w:rsidRDefault="00FE7CB4" w:rsidP="00FE7CB4">
      <w:pPr>
        <w:pStyle w:val="a6"/>
        <w:shd w:val="clear" w:color="auto" w:fill="FFFFFF"/>
        <w:spacing w:before="0" w:beforeAutospacing="0" w:after="0" w:afterAutospacing="0"/>
        <w:rPr>
          <w:color w:val="333333"/>
          <w:sz w:val="27"/>
          <w:szCs w:val="27"/>
        </w:rPr>
      </w:pPr>
    </w:p>
    <w:p w:rsidR="00E44CC5" w:rsidRDefault="00E44CC5" w:rsidP="005B7494">
      <w:pPr>
        <w:pStyle w:val="a6"/>
        <w:shd w:val="clear" w:color="auto" w:fill="FFFFFF"/>
        <w:spacing w:before="0" w:beforeAutospacing="0" w:after="0" w:afterAutospacing="0"/>
      </w:pPr>
    </w:p>
    <w:p w:rsidR="00E44CC5" w:rsidRDefault="00677BE7">
      <w:pPr>
        <w:pStyle w:val="1"/>
        <w:spacing w:before="0"/>
        <w:rPr>
          <w:rFonts w:eastAsiaTheme="minorEastAsia"/>
          <w:kern w:val="2"/>
          <w:sz w:val="32"/>
          <w:szCs w:val="32"/>
        </w:rPr>
      </w:pPr>
      <w:bookmarkStart w:id="19" w:name="_Toc515834321"/>
      <w:r>
        <w:rPr>
          <w:rFonts w:hint="eastAsia"/>
        </w:rPr>
        <w:t>产品情况</w:t>
      </w:r>
      <w:bookmarkEnd w:id="15"/>
      <w:bookmarkEnd w:id="19"/>
    </w:p>
    <w:p w:rsidR="00E44CC5" w:rsidRDefault="00677BE7">
      <w:pPr>
        <w:pStyle w:val="2"/>
        <w:spacing w:before="0"/>
      </w:pPr>
      <w:bookmarkStart w:id="20" w:name="_Toc509217491"/>
      <w:bookmarkStart w:id="21" w:name="_Toc515834322"/>
      <w:r>
        <w:rPr>
          <w:rFonts w:hint="eastAsia"/>
        </w:rPr>
        <w:t>信托产品</w:t>
      </w:r>
      <w:bookmarkEnd w:id="20"/>
      <w:bookmarkEnd w:id="21"/>
    </w:p>
    <w:p w:rsidR="00E44CC5" w:rsidRDefault="00677BE7">
      <w:pPr>
        <w:ind w:firstLineChars="200" w:firstLine="640"/>
        <w:rPr>
          <w:rFonts w:hAnsi="Calibri"/>
          <w:sz w:val="32"/>
          <w:szCs w:val="32"/>
        </w:rPr>
      </w:pPr>
      <w:r>
        <w:rPr>
          <w:rFonts w:hint="eastAsia"/>
          <w:sz w:val="32"/>
          <w:szCs w:val="32"/>
        </w:rPr>
        <w:t>上周共搜集到新发行信托产品</w:t>
      </w:r>
      <w:r w:rsidR="00677885">
        <w:rPr>
          <w:rFonts w:ascii="Calibri" w:hAnsi="Calibri" w:cs="Calibri"/>
          <w:sz w:val="32"/>
          <w:szCs w:val="32"/>
        </w:rPr>
        <w:t>32</w:t>
      </w:r>
      <w:r>
        <w:rPr>
          <w:rFonts w:hAnsi="Calibri" w:hint="eastAsia"/>
          <w:sz w:val="32"/>
          <w:szCs w:val="32"/>
        </w:rPr>
        <w:t>只，期限为</w:t>
      </w:r>
      <w:r>
        <w:rPr>
          <w:rFonts w:hAnsi="Calibri" w:hint="eastAsia"/>
          <w:sz w:val="32"/>
          <w:szCs w:val="32"/>
        </w:rPr>
        <w:t>6-</w:t>
      </w:r>
      <w:r w:rsidR="00CF2DC1">
        <w:rPr>
          <w:rFonts w:ascii="Calibri" w:hAnsi="Calibri" w:cs="Calibri"/>
          <w:sz w:val="32"/>
          <w:szCs w:val="32"/>
        </w:rPr>
        <w:t>36</w:t>
      </w:r>
      <w:r>
        <w:rPr>
          <w:rFonts w:hAnsi="Calibri" w:hint="eastAsia"/>
          <w:sz w:val="32"/>
          <w:szCs w:val="32"/>
        </w:rPr>
        <w:t>个月不等。年化收益率在</w:t>
      </w:r>
      <w:r w:rsidR="007078FF">
        <w:rPr>
          <w:rFonts w:hAnsi="Calibri"/>
          <w:sz w:val="32"/>
          <w:szCs w:val="32"/>
        </w:rPr>
        <w:t>7</w:t>
      </w:r>
      <w:r>
        <w:rPr>
          <w:rFonts w:ascii="Calibri" w:hAnsi="Calibri" w:cs="Calibri"/>
          <w:sz w:val="32"/>
          <w:szCs w:val="32"/>
        </w:rPr>
        <w:t>%~</w:t>
      </w:r>
      <w:r>
        <w:rPr>
          <w:rFonts w:ascii="Calibri" w:hAnsi="Calibri" w:cs="Calibri" w:hint="eastAsia"/>
          <w:sz w:val="32"/>
          <w:szCs w:val="32"/>
        </w:rPr>
        <w:t>9.</w:t>
      </w:r>
      <w:r w:rsidR="00677885">
        <w:rPr>
          <w:rFonts w:ascii="Calibri" w:hAnsi="Calibri" w:cs="Calibri"/>
          <w:sz w:val="32"/>
          <w:szCs w:val="32"/>
        </w:rPr>
        <w:t>8</w:t>
      </w:r>
      <w:r>
        <w:rPr>
          <w:rFonts w:ascii="Calibri" w:hAnsi="Calibri" w:cs="Calibri"/>
          <w:sz w:val="32"/>
          <w:szCs w:val="32"/>
        </w:rPr>
        <w:t>%</w:t>
      </w:r>
      <w:r>
        <w:rPr>
          <w:rFonts w:hAnsi="Calibri" w:hint="eastAsia"/>
          <w:sz w:val="32"/>
          <w:szCs w:val="32"/>
        </w:rPr>
        <w:t>之间。</w:t>
      </w:r>
    </w:p>
    <w:p w:rsidR="00E44CC5" w:rsidRDefault="00677BE7">
      <w:pPr>
        <w:pStyle w:val="2"/>
        <w:spacing w:before="0"/>
      </w:pPr>
      <w:bookmarkStart w:id="22" w:name="_Toc509217492"/>
      <w:bookmarkStart w:id="23" w:name="_Toc515834323"/>
      <w:r>
        <w:rPr>
          <w:rFonts w:hint="eastAsia"/>
        </w:rPr>
        <w:t>资管产品</w:t>
      </w:r>
      <w:bookmarkEnd w:id="22"/>
      <w:bookmarkEnd w:id="23"/>
    </w:p>
    <w:p w:rsidR="00E44CC5" w:rsidRDefault="00677BE7">
      <w:pPr>
        <w:ind w:firstLineChars="200" w:firstLine="640"/>
        <w:rPr>
          <w:rFonts w:hAnsi="Calibri"/>
          <w:sz w:val="32"/>
          <w:szCs w:val="32"/>
        </w:rPr>
      </w:pPr>
      <w:r>
        <w:rPr>
          <w:rFonts w:hint="eastAsia"/>
          <w:sz w:val="32"/>
          <w:szCs w:val="32"/>
        </w:rPr>
        <w:t>上周共搜集到新发行资管产品</w:t>
      </w:r>
      <w:r w:rsidR="009A2443">
        <w:rPr>
          <w:sz w:val="32"/>
          <w:szCs w:val="32"/>
        </w:rPr>
        <w:t>14</w:t>
      </w:r>
      <w:r>
        <w:rPr>
          <w:rFonts w:hAnsi="Calibri" w:hint="eastAsia"/>
          <w:sz w:val="32"/>
          <w:szCs w:val="32"/>
        </w:rPr>
        <w:t>只。期限为</w:t>
      </w:r>
      <w:r w:rsidR="000471AE">
        <w:rPr>
          <w:rFonts w:hAnsi="Calibri"/>
          <w:sz w:val="32"/>
          <w:szCs w:val="32"/>
        </w:rPr>
        <w:t>6</w:t>
      </w:r>
      <w:r>
        <w:rPr>
          <w:rFonts w:hAnsi="Calibri" w:hint="eastAsia"/>
          <w:sz w:val="32"/>
          <w:szCs w:val="32"/>
        </w:rPr>
        <w:t>-</w:t>
      </w:r>
      <w:r w:rsidR="000471AE">
        <w:rPr>
          <w:rFonts w:hAnsi="Calibri"/>
          <w:sz w:val="32"/>
          <w:szCs w:val="32"/>
        </w:rPr>
        <w:t>36</w:t>
      </w:r>
      <w:r>
        <w:rPr>
          <w:rFonts w:hAnsi="Calibri" w:hint="eastAsia"/>
          <w:sz w:val="32"/>
          <w:szCs w:val="32"/>
        </w:rPr>
        <w:t>个月不等。年化收益率在</w:t>
      </w:r>
      <w:r w:rsidR="009A2443">
        <w:rPr>
          <w:rFonts w:hAnsi="Calibri"/>
          <w:sz w:val="32"/>
          <w:szCs w:val="32"/>
        </w:rPr>
        <w:t>5.2</w:t>
      </w:r>
      <w:r>
        <w:rPr>
          <w:rFonts w:ascii="Calibri" w:hAnsi="Calibri" w:cs="Calibri"/>
          <w:sz w:val="32"/>
          <w:szCs w:val="32"/>
        </w:rPr>
        <w:t>%~</w:t>
      </w:r>
      <w:r w:rsidR="009A2443">
        <w:rPr>
          <w:rFonts w:ascii="Calibri" w:hAnsi="Calibri" w:cs="Calibri"/>
          <w:sz w:val="32"/>
          <w:szCs w:val="32"/>
        </w:rPr>
        <w:t>9.</w:t>
      </w:r>
      <w:r w:rsidR="00D92A44">
        <w:rPr>
          <w:rFonts w:ascii="Calibri" w:hAnsi="Calibri" w:cs="Calibri"/>
          <w:sz w:val="32"/>
          <w:szCs w:val="32"/>
        </w:rPr>
        <w:t>8</w:t>
      </w:r>
      <w:r>
        <w:rPr>
          <w:rFonts w:ascii="Calibri" w:hAnsi="Calibri" w:cs="Calibri"/>
          <w:sz w:val="32"/>
          <w:szCs w:val="32"/>
        </w:rPr>
        <w:t>%</w:t>
      </w:r>
      <w:r>
        <w:rPr>
          <w:rFonts w:hAnsi="Calibri" w:hint="eastAsia"/>
          <w:sz w:val="32"/>
          <w:szCs w:val="32"/>
        </w:rPr>
        <w:t>之间。</w:t>
      </w:r>
    </w:p>
    <w:p w:rsidR="00E44CC5" w:rsidRDefault="00677BE7">
      <w:pPr>
        <w:pStyle w:val="2"/>
        <w:spacing w:before="0"/>
      </w:pPr>
      <w:bookmarkStart w:id="24" w:name="_Toc509217493"/>
      <w:bookmarkStart w:id="25" w:name="_Toc515834324"/>
      <w:r>
        <w:rPr>
          <w:rFonts w:hint="eastAsia"/>
        </w:rPr>
        <w:t>银行理财</w:t>
      </w:r>
      <w:bookmarkEnd w:id="24"/>
      <w:bookmarkEnd w:id="25"/>
    </w:p>
    <w:p w:rsidR="00E44CC5" w:rsidRDefault="00677BE7">
      <w:pPr>
        <w:ind w:firstLineChars="200" w:firstLine="640"/>
        <w:rPr>
          <w:color w:val="333333"/>
          <w:sz w:val="27"/>
          <w:szCs w:val="27"/>
          <w:shd w:val="clear" w:color="auto" w:fill="FFFFFF"/>
        </w:rPr>
      </w:pPr>
      <w:r>
        <w:rPr>
          <w:rFonts w:hint="eastAsia"/>
          <w:sz w:val="32"/>
          <w:szCs w:val="32"/>
        </w:rPr>
        <w:t>上周共搜集到银行理财产品</w:t>
      </w:r>
      <w:r w:rsidR="00037B5A">
        <w:rPr>
          <w:sz w:val="32"/>
          <w:szCs w:val="32"/>
        </w:rPr>
        <w:t>23</w:t>
      </w:r>
      <w:r>
        <w:rPr>
          <w:rFonts w:hint="eastAsia"/>
          <w:sz w:val="32"/>
          <w:szCs w:val="32"/>
        </w:rPr>
        <w:t>只。期限为</w:t>
      </w:r>
      <w:r w:rsidR="00037B5A">
        <w:rPr>
          <w:sz w:val="32"/>
          <w:szCs w:val="32"/>
        </w:rPr>
        <w:t>35</w:t>
      </w:r>
      <w:r>
        <w:rPr>
          <w:rFonts w:hint="eastAsia"/>
          <w:sz w:val="32"/>
          <w:szCs w:val="32"/>
        </w:rPr>
        <w:t>-</w:t>
      </w:r>
      <w:r w:rsidR="00CE3177">
        <w:rPr>
          <w:sz w:val="32"/>
          <w:szCs w:val="32"/>
        </w:rPr>
        <w:t>7</w:t>
      </w:r>
      <w:r w:rsidR="00037B5A">
        <w:rPr>
          <w:sz w:val="32"/>
          <w:szCs w:val="32"/>
        </w:rPr>
        <w:t>60</w:t>
      </w:r>
      <w:r>
        <w:rPr>
          <w:rFonts w:hint="eastAsia"/>
          <w:sz w:val="32"/>
          <w:szCs w:val="32"/>
        </w:rPr>
        <w:t>天不等。年化收益率在</w:t>
      </w:r>
      <w:r w:rsidR="00CE3177">
        <w:rPr>
          <w:rFonts w:hint="eastAsia"/>
          <w:sz w:val="32"/>
          <w:szCs w:val="32"/>
        </w:rPr>
        <w:t>4</w:t>
      </w:r>
      <w:r w:rsidR="00037B5A">
        <w:rPr>
          <w:rFonts w:hint="eastAsia"/>
          <w:sz w:val="32"/>
          <w:szCs w:val="32"/>
        </w:rPr>
        <w:t>.</w:t>
      </w:r>
      <w:r w:rsidR="00037B5A">
        <w:rPr>
          <w:sz w:val="32"/>
          <w:szCs w:val="32"/>
        </w:rPr>
        <w:t>65</w:t>
      </w:r>
      <w:r>
        <w:rPr>
          <w:sz w:val="32"/>
          <w:szCs w:val="32"/>
        </w:rPr>
        <w:t>%-</w:t>
      </w:r>
      <w:r w:rsidR="00037B5A">
        <w:rPr>
          <w:sz w:val="32"/>
          <w:szCs w:val="32"/>
        </w:rPr>
        <w:t>6.5</w:t>
      </w:r>
      <w:r>
        <w:rPr>
          <w:sz w:val="32"/>
          <w:szCs w:val="32"/>
        </w:rPr>
        <w:t>%</w:t>
      </w:r>
      <w:r>
        <w:rPr>
          <w:rFonts w:hint="eastAsia"/>
          <w:sz w:val="32"/>
          <w:szCs w:val="32"/>
        </w:rPr>
        <w:t>之间。</w:t>
      </w:r>
    </w:p>
    <w:sectPr w:rsidR="00E44CC5">
      <w:headerReference w:type="default" r:id="rId8"/>
      <w:footerReference w:type="default" r:id="rId9"/>
      <w:pgSz w:w="11906" w:h="16838"/>
      <w:pgMar w:top="142" w:right="424" w:bottom="568" w:left="426" w:header="146" w:footer="9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554" w:rsidRDefault="00AA0554">
      <w:r>
        <w:separator/>
      </w:r>
    </w:p>
  </w:endnote>
  <w:endnote w:type="continuationSeparator" w:id="0">
    <w:p w:rsidR="00AA0554" w:rsidRDefault="00AA0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7321765"/>
    </w:sdtPr>
    <w:sdtEndPr/>
    <w:sdtContent>
      <w:sdt>
        <w:sdtPr>
          <w:id w:val="860082579"/>
        </w:sdtPr>
        <w:sdtEndPr/>
        <w:sdtContent>
          <w:p w:rsidR="00E44CC5" w:rsidRDefault="00677BE7">
            <w:pPr>
              <w:pStyle w:val="a4"/>
              <w:jc w:val="right"/>
            </w:pPr>
            <w:r>
              <w:rPr>
                <w:b/>
                <w:bCs/>
                <w:sz w:val="24"/>
                <w:szCs w:val="24"/>
              </w:rPr>
              <w:fldChar w:fldCharType="begin"/>
            </w:r>
            <w:r>
              <w:rPr>
                <w:b/>
                <w:bCs/>
              </w:rPr>
              <w:instrText>PAGE</w:instrText>
            </w:r>
            <w:r>
              <w:rPr>
                <w:b/>
                <w:bCs/>
                <w:sz w:val="24"/>
                <w:szCs w:val="24"/>
              </w:rPr>
              <w:fldChar w:fldCharType="separate"/>
            </w:r>
            <w:r w:rsidR="00DD3C5F">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D3C5F">
              <w:rPr>
                <w:b/>
                <w:bCs/>
                <w:noProof/>
              </w:rPr>
              <w:t>21</w:t>
            </w:r>
            <w:r>
              <w:rPr>
                <w:b/>
                <w:bCs/>
                <w:sz w:val="24"/>
                <w:szCs w:val="24"/>
              </w:rPr>
              <w:fldChar w:fldCharType="end"/>
            </w:r>
          </w:p>
        </w:sdtContent>
      </w:sdt>
    </w:sdtContent>
  </w:sdt>
  <w:p w:rsidR="00E44CC5" w:rsidRDefault="00E44CC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554" w:rsidRDefault="00AA0554">
      <w:r>
        <w:separator/>
      </w:r>
    </w:p>
  </w:footnote>
  <w:footnote w:type="continuationSeparator" w:id="0">
    <w:p w:rsidR="00AA0554" w:rsidRDefault="00AA05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CC5" w:rsidRDefault="00677BE7">
    <w:pPr>
      <w:pStyle w:val="a5"/>
      <w:pBdr>
        <w:bottom w:val="single" w:sz="6" w:space="0" w:color="auto"/>
      </w:pBdr>
      <w:jc w:val="both"/>
      <w:rPr>
        <w:rFonts w:ascii="微软雅黑" w:eastAsia="微软雅黑" w:hAnsi="微软雅黑"/>
        <w:b/>
      </w:rPr>
    </w:pPr>
    <w:r>
      <w:rPr>
        <w:rFonts w:ascii="微软雅黑" w:eastAsia="微软雅黑" w:hAnsi="微软雅黑" w:hint="eastAsia"/>
        <w:b/>
        <w:noProof/>
      </w:rPr>
      <w:drawing>
        <wp:inline distT="0" distB="0" distL="0" distR="0">
          <wp:extent cx="3177540" cy="48387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190089" cy="486044"/>
                  </a:xfrm>
                  <a:prstGeom prst="rect">
                    <a:avLst/>
                  </a:prstGeom>
                </pic:spPr>
              </pic:pic>
            </a:graphicData>
          </a:graphic>
        </wp:inline>
      </w:drawing>
    </w:r>
    <w:r>
      <w:rPr>
        <w:rFonts w:ascii="微软雅黑" w:eastAsia="微软雅黑" w:hAnsi="微软雅黑" w:hint="eastAsia"/>
        <w:b/>
      </w:rPr>
      <w:t xml:space="preserve">         财富新闻周刊</w:t>
    </w:r>
    <w:r>
      <w:rPr>
        <w:rFonts w:ascii="微软雅黑" w:eastAsia="微软雅黑" w:hAnsi="微软雅黑"/>
        <w:b/>
      </w:rPr>
      <w:t>201</w:t>
    </w:r>
    <w:r>
      <w:rPr>
        <w:rFonts w:ascii="微软雅黑" w:eastAsia="微软雅黑" w:hAnsi="微软雅黑" w:hint="eastAsia"/>
        <w:b/>
      </w:rPr>
      <w:t>8年</w:t>
    </w:r>
    <w:r w:rsidR="00121871">
      <w:rPr>
        <w:rFonts w:ascii="微软雅黑" w:eastAsia="微软雅黑" w:hAnsi="微软雅黑"/>
        <w:b/>
      </w:rPr>
      <w:t>5</w:t>
    </w:r>
    <w:r>
      <w:rPr>
        <w:rFonts w:ascii="微软雅黑" w:eastAsia="微软雅黑" w:hAnsi="微软雅黑" w:hint="eastAsia"/>
        <w:b/>
      </w:rPr>
      <w:t>月</w:t>
    </w:r>
    <w:r w:rsidR="00121871">
      <w:rPr>
        <w:rFonts w:ascii="微软雅黑" w:eastAsia="微软雅黑" w:hAnsi="微软雅黑"/>
        <w:b/>
      </w:rPr>
      <w:t>21</w:t>
    </w:r>
    <w:r>
      <w:rPr>
        <w:rFonts w:ascii="微软雅黑" w:eastAsia="微软雅黑" w:hAnsi="微软雅黑" w:hint="eastAsia"/>
        <w:b/>
      </w:rPr>
      <w:t>日</w:t>
    </w:r>
    <w:r>
      <w:rPr>
        <w:rFonts w:ascii="微软雅黑" w:eastAsia="微软雅黑" w:hAnsi="微软雅黑"/>
        <w:b/>
      </w:rPr>
      <w:t>~</w:t>
    </w:r>
    <w:r>
      <w:rPr>
        <w:rFonts w:ascii="微软雅黑" w:eastAsia="微软雅黑" w:hAnsi="微软雅黑" w:hint="eastAsia"/>
        <w:b/>
      </w:rPr>
      <w:t>2018年</w:t>
    </w:r>
    <w:r w:rsidR="00121871">
      <w:rPr>
        <w:rFonts w:ascii="微软雅黑" w:eastAsia="微软雅黑" w:hAnsi="微软雅黑"/>
        <w:b/>
      </w:rPr>
      <w:t>5</w:t>
    </w:r>
    <w:r>
      <w:rPr>
        <w:rFonts w:ascii="微软雅黑" w:eastAsia="微软雅黑" w:hAnsi="微软雅黑" w:hint="eastAsia"/>
        <w:b/>
      </w:rPr>
      <w:t>月</w:t>
    </w:r>
    <w:r w:rsidR="00121871">
      <w:rPr>
        <w:rFonts w:ascii="微软雅黑" w:eastAsia="微软雅黑" w:hAnsi="微软雅黑"/>
        <w:b/>
      </w:rPr>
      <w:t>27</w:t>
    </w:r>
    <w:r>
      <w:rPr>
        <w:rFonts w:ascii="微软雅黑" w:eastAsia="微软雅黑" w:hAnsi="微软雅黑" w:hint="eastAsia"/>
        <w:b/>
      </w:rPr>
      <w:t>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73C"/>
    <w:rsid w:val="0000130D"/>
    <w:rsid w:val="00001EAB"/>
    <w:rsid w:val="000027B8"/>
    <w:rsid w:val="00002DF6"/>
    <w:rsid w:val="00005535"/>
    <w:rsid w:val="00006F42"/>
    <w:rsid w:val="00012959"/>
    <w:rsid w:val="00017E11"/>
    <w:rsid w:val="00020627"/>
    <w:rsid w:val="000218A0"/>
    <w:rsid w:val="0002214D"/>
    <w:rsid w:val="000231B2"/>
    <w:rsid w:val="00023327"/>
    <w:rsid w:val="00025B61"/>
    <w:rsid w:val="00026B5E"/>
    <w:rsid w:val="00027140"/>
    <w:rsid w:val="000315A7"/>
    <w:rsid w:val="00033628"/>
    <w:rsid w:val="00033F93"/>
    <w:rsid w:val="00036434"/>
    <w:rsid w:val="00036932"/>
    <w:rsid w:val="00037B5A"/>
    <w:rsid w:val="00040087"/>
    <w:rsid w:val="00040A50"/>
    <w:rsid w:val="000416C3"/>
    <w:rsid w:val="0004173D"/>
    <w:rsid w:val="00042036"/>
    <w:rsid w:val="0004610B"/>
    <w:rsid w:val="000467F2"/>
    <w:rsid w:val="00046827"/>
    <w:rsid w:val="000471AE"/>
    <w:rsid w:val="0005047A"/>
    <w:rsid w:val="00051089"/>
    <w:rsid w:val="0005196A"/>
    <w:rsid w:val="000536F7"/>
    <w:rsid w:val="000553BC"/>
    <w:rsid w:val="000603A4"/>
    <w:rsid w:val="0006126B"/>
    <w:rsid w:val="00062038"/>
    <w:rsid w:val="00062674"/>
    <w:rsid w:val="000628EA"/>
    <w:rsid w:val="00064A5B"/>
    <w:rsid w:val="00064F31"/>
    <w:rsid w:val="00065C8A"/>
    <w:rsid w:val="00067A2A"/>
    <w:rsid w:val="00073BB3"/>
    <w:rsid w:val="0007444A"/>
    <w:rsid w:val="0007643E"/>
    <w:rsid w:val="00076746"/>
    <w:rsid w:val="00077E3E"/>
    <w:rsid w:val="00077FE4"/>
    <w:rsid w:val="0008015F"/>
    <w:rsid w:val="00081902"/>
    <w:rsid w:val="00081A0D"/>
    <w:rsid w:val="000820FD"/>
    <w:rsid w:val="00082598"/>
    <w:rsid w:val="00085016"/>
    <w:rsid w:val="00086CA6"/>
    <w:rsid w:val="0008778E"/>
    <w:rsid w:val="00090B07"/>
    <w:rsid w:val="00090BCB"/>
    <w:rsid w:val="00091907"/>
    <w:rsid w:val="00092B65"/>
    <w:rsid w:val="00094464"/>
    <w:rsid w:val="00094DC3"/>
    <w:rsid w:val="00095164"/>
    <w:rsid w:val="00095D80"/>
    <w:rsid w:val="000971C1"/>
    <w:rsid w:val="00097F5D"/>
    <w:rsid w:val="000A1821"/>
    <w:rsid w:val="000A2A8D"/>
    <w:rsid w:val="000A38F4"/>
    <w:rsid w:val="000A4EEE"/>
    <w:rsid w:val="000B24EB"/>
    <w:rsid w:val="000B2B33"/>
    <w:rsid w:val="000B3534"/>
    <w:rsid w:val="000B37C1"/>
    <w:rsid w:val="000B5194"/>
    <w:rsid w:val="000B538D"/>
    <w:rsid w:val="000B5633"/>
    <w:rsid w:val="000C0495"/>
    <w:rsid w:val="000C076F"/>
    <w:rsid w:val="000C07EA"/>
    <w:rsid w:val="000C087A"/>
    <w:rsid w:val="000C1B37"/>
    <w:rsid w:val="000C3021"/>
    <w:rsid w:val="000C329B"/>
    <w:rsid w:val="000C34EB"/>
    <w:rsid w:val="000C3F73"/>
    <w:rsid w:val="000C4F61"/>
    <w:rsid w:val="000C5976"/>
    <w:rsid w:val="000C6A37"/>
    <w:rsid w:val="000D129D"/>
    <w:rsid w:val="000D2777"/>
    <w:rsid w:val="000D529D"/>
    <w:rsid w:val="000D6518"/>
    <w:rsid w:val="000D7525"/>
    <w:rsid w:val="000D7D50"/>
    <w:rsid w:val="000E0CED"/>
    <w:rsid w:val="000E1A56"/>
    <w:rsid w:val="000E3817"/>
    <w:rsid w:val="000E53C9"/>
    <w:rsid w:val="000E59C4"/>
    <w:rsid w:val="000E663E"/>
    <w:rsid w:val="000E6808"/>
    <w:rsid w:val="000E76DD"/>
    <w:rsid w:val="000F0CEE"/>
    <w:rsid w:val="000F1B5B"/>
    <w:rsid w:val="000F4E3A"/>
    <w:rsid w:val="00101DC8"/>
    <w:rsid w:val="001043FB"/>
    <w:rsid w:val="0010613D"/>
    <w:rsid w:val="0011093C"/>
    <w:rsid w:val="0011133A"/>
    <w:rsid w:val="00111EA0"/>
    <w:rsid w:val="00112398"/>
    <w:rsid w:val="0011574D"/>
    <w:rsid w:val="00115F7B"/>
    <w:rsid w:val="00116267"/>
    <w:rsid w:val="00117A8C"/>
    <w:rsid w:val="001204D1"/>
    <w:rsid w:val="00121871"/>
    <w:rsid w:val="001227C7"/>
    <w:rsid w:val="0012287C"/>
    <w:rsid w:val="00122EBB"/>
    <w:rsid w:val="00124625"/>
    <w:rsid w:val="001249E7"/>
    <w:rsid w:val="00130E51"/>
    <w:rsid w:val="00131B7C"/>
    <w:rsid w:val="00132BD3"/>
    <w:rsid w:val="00133852"/>
    <w:rsid w:val="00133E12"/>
    <w:rsid w:val="00135A3D"/>
    <w:rsid w:val="00140084"/>
    <w:rsid w:val="00140313"/>
    <w:rsid w:val="00141009"/>
    <w:rsid w:val="0014132B"/>
    <w:rsid w:val="001416CF"/>
    <w:rsid w:val="0014229C"/>
    <w:rsid w:val="0014721D"/>
    <w:rsid w:val="00147BD5"/>
    <w:rsid w:val="001520BF"/>
    <w:rsid w:val="00156ED5"/>
    <w:rsid w:val="00160647"/>
    <w:rsid w:val="00160D4F"/>
    <w:rsid w:val="00163508"/>
    <w:rsid w:val="00163615"/>
    <w:rsid w:val="00167589"/>
    <w:rsid w:val="00167C6D"/>
    <w:rsid w:val="0017228A"/>
    <w:rsid w:val="001725B3"/>
    <w:rsid w:val="00172F4E"/>
    <w:rsid w:val="00173FCD"/>
    <w:rsid w:val="0017534B"/>
    <w:rsid w:val="001760C2"/>
    <w:rsid w:val="00176828"/>
    <w:rsid w:val="001805D9"/>
    <w:rsid w:val="00180877"/>
    <w:rsid w:val="0018428D"/>
    <w:rsid w:val="00184FAD"/>
    <w:rsid w:val="0018533C"/>
    <w:rsid w:val="00190C05"/>
    <w:rsid w:val="00190C81"/>
    <w:rsid w:val="00191695"/>
    <w:rsid w:val="00191875"/>
    <w:rsid w:val="00191BDA"/>
    <w:rsid w:val="00192932"/>
    <w:rsid w:val="001958EE"/>
    <w:rsid w:val="001A11C5"/>
    <w:rsid w:val="001A1CAE"/>
    <w:rsid w:val="001A233F"/>
    <w:rsid w:val="001A2BA5"/>
    <w:rsid w:val="001A37D3"/>
    <w:rsid w:val="001A3A2D"/>
    <w:rsid w:val="001A3B04"/>
    <w:rsid w:val="001A4077"/>
    <w:rsid w:val="001A462D"/>
    <w:rsid w:val="001A5100"/>
    <w:rsid w:val="001A570E"/>
    <w:rsid w:val="001A5D67"/>
    <w:rsid w:val="001A6122"/>
    <w:rsid w:val="001A775A"/>
    <w:rsid w:val="001A79BE"/>
    <w:rsid w:val="001A7E15"/>
    <w:rsid w:val="001B1168"/>
    <w:rsid w:val="001B17A7"/>
    <w:rsid w:val="001B1C73"/>
    <w:rsid w:val="001B3783"/>
    <w:rsid w:val="001B3DB2"/>
    <w:rsid w:val="001B4720"/>
    <w:rsid w:val="001B4F91"/>
    <w:rsid w:val="001B5B4A"/>
    <w:rsid w:val="001B6B0F"/>
    <w:rsid w:val="001B72F2"/>
    <w:rsid w:val="001B7386"/>
    <w:rsid w:val="001C15AC"/>
    <w:rsid w:val="001C3CA4"/>
    <w:rsid w:val="001C618D"/>
    <w:rsid w:val="001C6CAF"/>
    <w:rsid w:val="001C746C"/>
    <w:rsid w:val="001D03A0"/>
    <w:rsid w:val="001D45EA"/>
    <w:rsid w:val="001D4887"/>
    <w:rsid w:val="001D6F5C"/>
    <w:rsid w:val="001D7347"/>
    <w:rsid w:val="001D76F7"/>
    <w:rsid w:val="001E2D36"/>
    <w:rsid w:val="001E3336"/>
    <w:rsid w:val="001E4AB6"/>
    <w:rsid w:val="001E6D90"/>
    <w:rsid w:val="001F1864"/>
    <w:rsid w:val="001F4B91"/>
    <w:rsid w:val="001F582C"/>
    <w:rsid w:val="001F5852"/>
    <w:rsid w:val="001F6CE0"/>
    <w:rsid w:val="001F7FB9"/>
    <w:rsid w:val="00203BE4"/>
    <w:rsid w:val="0020487D"/>
    <w:rsid w:val="00204ABC"/>
    <w:rsid w:val="00204C94"/>
    <w:rsid w:val="00205DDB"/>
    <w:rsid w:val="002119A2"/>
    <w:rsid w:val="002138F6"/>
    <w:rsid w:val="002146EC"/>
    <w:rsid w:val="00214936"/>
    <w:rsid w:val="00214B40"/>
    <w:rsid w:val="00216070"/>
    <w:rsid w:val="00222291"/>
    <w:rsid w:val="00222949"/>
    <w:rsid w:val="00224363"/>
    <w:rsid w:val="002251DF"/>
    <w:rsid w:val="00225AF4"/>
    <w:rsid w:val="00226AF0"/>
    <w:rsid w:val="00235F39"/>
    <w:rsid w:val="0023748A"/>
    <w:rsid w:val="00241354"/>
    <w:rsid w:val="002434BC"/>
    <w:rsid w:val="0024487E"/>
    <w:rsid w:val="0024567C"/>
    <w:rsid w:val="00246ED0"/>
    <w:rsid w:val="002473E0"/>
    <w:rsid w:val="0025028D"/>
    <w:rsid w:val="00250DB6"/>
    <w:rsid w:val="00250DDA"/>
    <w:rsid w:val="00250EB3"/>
    <w:rsid w:val="00251E06"/>
    <w:rsid w:val="00251F6B"/>
    <w:rsid w:val="00253107"/>
    <w:rsid w:val="002567B6"/>
    <w:rsid w:val="00256F79"/>
    <w:rsid w:val="0025755D"/>
    <w:rsid w:val="00262820"/>
    <w:rsid w:val="00263922"/>
    <w:rsid w:val="00265760"/>
    <w:rsid w:val="002658C6"/>
    <w:rsid w:val="0026739E"/>
    <w:rsid w:val="00267DB0"/>
    <w:rsid w:val="0027073B"/>
    <w:rsid w:val="002710B1"/>
    <w:rsid w:val="002716A1"/>
    <w:rsid w:val="002716DE"/>
    <w:rsid w:val="00271D49"/>
    <w:rsid w:val="00274037"/>
    <w:rsid w:val="002741D2"/>
    <w:rsid w:val="002748EF"/>
    <w:rsid w:val="00280A2E"/>
    <w:rsid w:val="00280EA8"/>
    <w:rsid w:val="00283E36"/>
    <w:rsid w:val="002841B7"/>
    <w:rsid w:val="00284FB9"/>
    <w:rsid w:val="00285582"/>
    <w:rsid w:val="002855AE"/>
    <w:rsid w:val="00285A47"/>
    <w:rsid w:val="002A3D60"/>
    <w:rsid w:val="002A4681"/>
    <w:rsid w:val="002A47F3"/>
    <w:rsid w:val="002A62A3"/>
    <w:rsid w:val="002A6710"/>
    <w:rsid w:val="002B144A"/>
    <w:rsid w:val="002B271F"/>
    <w:rsid w:val="002B2B54"/>
    <w:rsid w:val="002B62F5"/>
    <w:rsid w:val="002B6832"/>
    <w:rsid w:val="002B6839"/>
    <w:rsid w:val="002C35C0"/>
    <w:rsid w:val="002C513A"/>
    <w:rsid w:val="002C616A"/>
    <w:rsid w:val="002D1484"/>
    <w:rsid w:val="002D22C2"/>
    <w:rsid w:val="002D366E"/>
    <w:rsid w:val="002D3C73"/>
    <w:rsid w:val="002D3D94"/>
    <w:rsid w:val="002D42DF"/>
    <w:rsid w:val="002E0272"/>
    <w:rsid w:val="002E1EDA"/>
    <w:rsid w:val="002E1F36"/>
    <w:rsid w:val="002E2CAB"/>
    <w:rsid w:val="002E3904"/>
    <w:rsid w:val="002E50A7"/>
    <w:rsid w:val="002E5C62"/>
    <w:rsid w:val="002E60B1"/>
    <w:rsid w:val="002E6430"/>
    <w:rsid w:val="002E6E78"/>
    <w:rsid w:val="002F08E2"/>
    <w:rsid w:val="002F495C"/>
    <w:rsid w:val="002F4C18"/>
    <w:rsid w:val="002F57F6"/>
    <w:rsid w:val="002F61A6"/>
    <w:rsid w:val="002F621E"/>
    <w:rsid w:val="002F7633"/>
    <w:rsid w:val="00302DBD"/>
    <w:rsid w:val="003052B4"/>
    <w:rsid w:val="00306041"/>
    <w:rsid w:val="00306D38"/>
    <w:rsid w:val="003074AD"/>
    <w:rsid w:val="00310AFF"/>
    <w:rsid w:val="003118EA"/>
    <w:rsid w:val="00312269"/>
    <w:rsid w:val="003130A7"/>
    <w:rsid w:val="0031636E"/>
    <w:rsid w:val="003169BD"/>
    <w:rsid w:val="003207F9"/>
    <w:rsid w:val="00325BF6"/>
    <w:rsid w:val="003306A5"/>
    <w:rsid w:val="00331328"/>
    <w:rsid w:val="003328AB"/>
    <w:rsid w:val="00332B4A"/>
    <w:rsid w:val="00333C94"/>
    <w:rsid w:val="00345FE9"/>
    <w:rsid w:val="0035036C"/>
    <w:rsid w:val="00351888"/>
    <w:rsid w:val="00352B29"/>
    <w:rsid w:val="0035303F"/>
    <w:rsid w:val="00353CD2"/>
    <w:rsid w:val="00354EA2"/>
    <w:rsid w:val="003563DB"/>
    <w:rsid w:val="00356711"/>
    <w:rsid w:val="00357BB2"/>
    <w:rsid w:val="0036047C"/>
    <w:rsid w:val="00362E38"/>
    <w:rsid w:val="0036351E"/>
    <w:rsid w:val="003637ED"/>
    <w:rsid w:val="0036474E"/>
    <w:rsid w:val="0036527D"/>
    <w:rsid w:val="003659F7"/>
    <w:rsid w:val="00366F9F"/>
    <w:rsid w:val="0037022B"/>
    <w:rsid w:val="00370E82"/>
    <w:rsid w:val="00371AEE"/>
    <w:rsid w:val="00371EDD"/>
    <w:rsid w:val="00372554"/>
    <w:rsid w:val="00373015"/>
    <w:rsid w:val="003732A2"/>
    <w:rsid w:val="00374E80"/>
    <w:rsid w:val="003764C4"/>
    <w:rsid w:val="00376525"/>
    <w:rsid w:val="003802AF"/>
    <w:rsid w:val="00380BEF"/>
    <w:rsid w:val="00381441"/>
    <w:rsid w:val="0038298E"/>
    <w:rsid w:val="0038349B"/>
    <w:rsid w:val="00383999"/>
    <w:rsid w:val="00385916"/>
    <w:rsid w:val="00387DB5"/>
    <w:rsid w:val="003909BF"/>
    <w:rsid w:val="00391146"/>
    <w:rsid w:val="003919BB"/>
    <w:rsid w:val="003928C7"/>
    <w:rsid w:val="00393251"/>
    <w:rsid w:val="003940CB"/>
    <w:rsid w:val="00396D6C"/>
    <w:rsid w:val="00397AA5"/>
    <w:rsid w:val="003A16E3"/>
    <w:rsid w:val="003A32AE"/>
    <w:rsid w:val="003A5E1F"/>
    <w:rsid w:val="003A6A0B"/>
    <w:rsid w:val="003A6C8C"/>
    <w:rsid w:val="003A701A"/>
    <w:rsid w:val="003A7A09"/>
    <w:rsid w:val="003B046F"/>
    <w:rsid w:val="003B0C9C"/>
    <w:rsid w:val="003B3059"/>
    <w:rsid w:val="003B4752"/>
    <w:rsid w:val="003B5671"/>
    <w:rsid w:val="003B729B"/>
    <w:rsid w:val="003B764F"/>
    <w:rsid w:val="003C12B2"/>
    <w:rsid w:val="003C18E4"/>
    <w:rsid w:val="003C20A8"/>
    <w:rsid w:val="003C2FB8"/>
    <w:rsid w:val="003C419B"/>
    <w:rsid w:val="003C6967"/>
    <w:rsid w:val="003C7B8F"/>
    <w:rsid w:val="003D0072"/>
    <w:rsid w:val="003D124B"/>
    <w:rsid w:val="003D5328"/>
    <w:rsid w:val="003E0617"/>
    <w:rsid w:val="003E0984"/>
    <w:rsid w:val="003E1D89"/>
    <w:rsid w:val="003E222F"/>
    <w:rsid w:val="003E233C"/>
    <w:rsid w:val="003E5052"/>
    <w:rsid w:val="003F0FC6"/>
    <w:rsid w:val="003F1701"/>
    <w:rsid w:val="003F25DD"/>
    <w:rsid w:val="003F2FDB"/>
    <w:rsid w:val="003F34BF"/>
    <w:rsid w:val="003F7665"/>
    <w:rsid w:val="004001F1"/>
    <w:rsid w:val="00402BA5"/>
    <w:rsid w:val="00402F68"/>
    <w:rsid w:val="004050EA"/>
    <w:rsid w:val="00406232"/>
    <w:rsid w:val="00406586"/>
    <w:rsid w:val="00407A99"/>
    <w:rsid w:val="00410854"/>
    <w:rsid w:val="00411AF8"/>
    <w:rsid w:val="00411B65"/>
    <w:rsid w:val="00411CA1"/>
    <w:rsid w:val="004130E4"/>
    <w:rsid w:val="004130F0"/>
    <w:rsid w:val="0041447A"/>
    <w:rsid w:val="00414ABF"/>
    <w:rsid w:val="00416200"/>
    <w:rsid w:val="00416704"/>
    <w:rsid w:val="004200E5"/>
    <w:rsid w:val="004221BB"/>
    <w:rsid w:val="00422AEF"/>
    <w:rsid w:val="00422BDB"/>
    <w:rsid w:val="0042310F"/>
    <w:rsid w:val="00423FF0"/>
    <w:rsid w:val="004255A2"/>
    <w:rsid w:val="00426F54"/>
    <w:rsid w:val="00427818"/>
    <w:rsid w:val="0043007A"/>
    <w:rsid w:val="00430AA1"/>
    <w:rsid w:val="00430AE7"/>
    <w:rsid w:val="004328ED"/>
    <w:rsid w:val="00433BD4"/>
    <w:rsid w:val="00437398"/>
    <w:rsid w:val="00437533"/>
    <w:rsid w:val="00437823"/>
    <w:rsid w:val="00444BE5"/>
    <w:rsid w:val="00446D93"/>
    <w:rsid w:val="00454B86"/>
    <w:rsid w:val="00454EA5"/>
    <w:rsid w:val="00457FAA"/>
    <w:rsid w:val="00460D78"/>
    <w:rsid w:val="004634C3"/>
    <w:rsid w:val="00465673"/>
    <w:rsid w:val="0046610E"/>
    <w:rsid w:val="00467571"/>
    <w:rsid w:val="004715A7"/>
    <w:rsid w:val="004720B9"/>
    <w:rsid w:val="0047341F"/>
    <w:rsid w:val="00473E09"/>
    <w:rsid w:val="00473EED"/>
    <w:rsid w:val="00473F3D"/>
    <w:rsid w:val="00474A21"/>
    <w:rsid w:val="004760C9"/>
    <w:rsid w:val="004763F7"/>
    <w:rsid w:val="004765CD"/>
    <w:rsid w:val="004771B8"/>
    <w:rsid w:val="00480149"/>
    <w:rsid w:val="00480980"/>
    <w:rsid w:val="004851F2"/>
    <w:rsid w:val="00485369"/>
    <w:rsid w:val="004874AC"/>
    <w:rsid w:val="00487BC2"/>
    <w:rsid w:val="00490ACD"/>
    <w:rsid w:val="00491A6C"/>
    <w:rsid w:val="00491B1A"/>
    <w:rsid w:val="004929D1"/>
    <w:rsid w:val="00492A51"/>
    <w:rsid w:val="00493670"/>
    <w:rsid w:val="00493CD3"/>
    <w:rsid w:val="00496A96"/>
    <w:rsid w:val="004A0F14"/>
    <w:rsid w:val="004A373C"/>
    <w:rsid w:val="004A5D5A"/>
    <w:rsid w:val="004A661B"/>
    <w:rsid w:val="004B0E14"/>
    <w:rsid w:val="004B12F6"/>
    <w:rsid w:val="004B14D4"/>
    <w:rsid w:val="004B484A"/>
    <w:rsid w:val="004B4F8C"/>
    <w:rsid w:val="004B60B6"/>
    <w:rsid w:val="004B6C4F"/>
    <w:rsid w:val="004C107B"/>
    <w:rsid w:val="004C10A7"/>
    <w:rsid w:val="004C1623"/>
    <w:rsid w:val="004C288B"/>
    <w:rsid w:val="004C2C1E"/>
    <w:rsid w:val="004C4710"/>
    <w:rsid w:val="004C4816"/>
    <w:rsid w:val="004D1FC9"/>
    <w:rsid w:val="004D2601"/>
    <w:rsid w:val="004D288C"/>
    <w:rsid w:val="004D7459"/>
    <w:rsid w:val="004E170B"/>
    <w:rsid w:val="004E1964"/>
    <w:rsid w:val="004E1BD6"/>
    <w:rsid w:val="004E2323"/>
    <w:rsid w:val="004E618F"/>
    <w:rsid w:val="004E6C11"/>
    <w:rsid w:val="004E6DAA"/>
    <w:rsid w:val="004F2C0C"/>
    <w:rsid w:val="005014CB"/>
    <w:rsid w:val="00502592"/>
    <w:rsid w:val="00502F90"/>
    <w:rsid w:val="005047F4"/>
    <w:rsid w:val="0050539C"/>
    <w:rsid w:val="00506500"/>
    <w:rsid w:val="00506FEC"/>
    <w:rsid w:val="005103FB"/>
    <w:rsid w:val="005113F9"/>
    <w:rsid w:val="00515AE3"/>
    <w:rsid w:val="005161C0"/>
    <w:rsid w:val="00517DBA"/>
    <w:rsid w:val="00520133"/>
    <w:rsid w:val="0052101F"/>
    <w:rsid w:val="00521AE6"/>
    <w:rsid w:val="00521E8E"/>
    <w:rsid w:val="00521F92"/>
    <w:rsid w:val="00522CC2"/>
    <w:rsid w:val="00523AF2"/>
    <w:rsid w:val="0052606B"/>
    <w:rsid w:val="005265E0"/>
    <w:rsid w:val="005317DA"/>
    <w:rsid w:val="005325EB"/>
    <w:rsid w:val="0053426E"/>
    <w:rsid w:val="00534E5B"/>
    <w:rsid w:val="00536DC2"/>
    <w:rsid w:val="00540C0F"/>
    <w:rsid w:val="005413A2"/>
    <w:rsid w:val="005503D2"/>
    <w:rsid w:val="005532D7"/>
    <w:rsid w:val="00555C4B"/>
    <w:rsid w:val="00556D5E"/>
    <w:rsid w:val="00557559"/>
    <w:rsid w:val="00557825"/>
    <w:rsid w:val="00557F87"/>
    <w:rsid w:val="00561228"/>
    <w:rsid w:val="0056136C"/>
    <w:rsid w:val="00562CB2"/>
    <w:rsid w:val="00564D3C"/>
    <w:rsid w:val="005711FC"/>
    <w:rsid w:val="00572085"/>
    <w:rsid w:val="005725CE"/>
    <w:rsid w:val="00572D15"/>
    <w:rsid w:val="00573F66"/>
    <w:rsid w:val="005765CA"/>
    <w:rsid w:val="00576668"/>
    <w:rsid w:val="00576A7B"/>
    <w:rsid w:val="00576FD3"/>
    <w:rsid w:val="0057706F"/>
    <w:rsid w:val="00577381"/>
    <w:rsid w:val="0057774F"/>
    <w:rsid w:val="00582E44"/>
    <w:rsid w:val="005831A2"/>
    <w:rsid w:val="00585D2B"/>
    <w:rsid w:val="0058796E"/>
    <w:rsid w:val="0059009C"/>
    <w:rsid w:val="005905A2"/>
    <w:rsid w:val="00590CAF"/>
    <w:rsid w:val="00591AE5"/>
    <w:rsid w:val="005943BC"/>
    <w:rsid w:val="005944B4"/>
    <w:rsid w:val="005946F4"/>
    <w:rsid w:val="005958D5"/>
    <w:rsid w:val="005A0568"/>
    <w:rsid w:val="005A0E8E"/>
    <w:rsid w:val="005A4ED7"/>
    <w:rsid w:val="005A54B1"/>
    <w:rsid w:val="005B02CB"/>
    <w:rsid w:val="005B0829"/>
    <w:rsid w:val="005B0B3A"/>
    <w:rsid w:val="005B1055"/>
    <w:rsid w:val="005B31E0"/>
    <w:rsid w:val="005B3D3D"/>
    <w:rsid w:val="005B3F97"/>
    <w:rsid w:val="005B4BCE"/>
    <w:rsid w:val="005B641B"/>
    <w:rsid w:val="005B6716"/>
    <w:rsid w:val="005B713B"/>
    <w:rsid w:val="005B7494"/>
    <w:rsid w:val="005C1EED"/>
    <w:rsid w:val="005C3468"/>
    <w:rsid w:val="005C3B98"/>
    <w:rsid w:val="005C48A2"/>
    <w:rsid w:val="005C7724"/>
    <w:rsid w:val="005C77DF"/>
    <w:rsid w:val="005C7C51"/>
    <w:rsid w:val="005D2329"/>
    <w:rsid w:val="005D455A"/>
    <w:rsid w:val="005D6650"/>
    <w:rsid w:val="005D7858"/>
    <w:rsid w:val="005E282E"/>
    <w:rsid w:val="005E2CE2"/>
    <w:rsid w:val="005E604E"/>
    <w:rsid w:val="005E69C6"/>
    <w:rsid w:val="005E6BD5"/>
    <w:rsid w:val="005F15A4"/>
    <w:rsid w:val="005F17D4"/>
    <w:rsid w:val="005F1FE0"/>
    <w:rsid w:val="005F31BE"/>
    <w:rsid w:val="005F379F"/>
    <w:rsid w:val="005F3F47"/>
    <w:rsid w:val="005F5577"/>
    <w:rsid w:val="005F55AD"/>
    <w:rsid w:val="005F5935"/>
    <w:rsid w:val="00601BBC"/>
    <w:rsid w:val="00602168"/>
    <w:rsid w:val="00602421"/>
    <w:rsid w:val="00604C5C"/>
    <w:rsid w:val="0060602F"/>
    <w:rsid w:val="00610FA3"/>
    <w:rsid w:val="0061757C"/>
    <w:rsid w:val="00617F0E"/>
    <w:rsid w:val="00621980"/>
    <w:rsid w:val="00621FE7"/>
    <w:rsid w:val="00622119"/>
    <w:rsid w:val="0062369D"/>
    <w:rsid w:val="00626401"/>
    <w:rsid w:val="00626E6E"/>
    <w:rsid w:val="0063026E"/>
    <w:rsid w:val="0063028F"/>
    <w:rsid w:val="006302AE"/>
    <w:rsid w:val="0063063C"/>
    <w:rsid w:val="00631779"/>
    <w:rsid w:val="006327F3"/>
    <w:rsid w:val="006329FD"/>
    <w:rsid w:val="00633FF8"/>
    <w:rsid w:val="00634BEC"/>
    <w:rsid w:val="00635904"/>
    <w:rsid w:val="006404B2"/>
    <w:rsid w:val="00640C94"/>
    <w:rsid w:val="00642AED"/>
    <w:rsid w:val="00642FB2"/>
    <w:rsid w:val="00644EFA"/>
    <w:rsid w:val="006474CF"/>
    <w:rsid w:val="00647D75"/>
    <w:rsid w:val="00650D66"/>
    <w:rsid w:val="00651A46"/>
    <w:rsid w:val="0065234F"/>
    <w:rsid w:val="00652D1D"/>
    <w:rsid w:val="00654FDA"/>
    <w:rsid w:val="006569FB"/>
    <w:rsid w:val="006570FA"/>
    <w:rsid w:val="00661933"/>
    <w:rsid w:val="0066226B"/>
    <w:rsid w:val="00663D5E"/>
    <w:rsid w:val="00664DA4"/>
    <w:rsid w:val="00664ECB"/>
    <w:rsid w:val="00670713"/>
    <w:rsid w:val="00670AAF"/>
    <w:rsid w:val="00670ABD"/>
    <w:rsid w:val="0067356C"/>
    <w:rsid w:val="00673C97"/>
    <w:rsid w:val="006764AB"/>
    <w:rsid w:val="00676F37"/>
    <w:rsid w:val="00677224"/>
    <w:rsid w:val="00677885"/>
    <w:rsid w:val="00677BE7"/>
    <w:rsid w:val="00680C70"/>
    <w:rsid w:val="00681288"/>
    <w:rsid w:val="00692BF8"/>
    <w:rsid w:val="006A25D4"/>
    <w:rsid w:val="006A383B"/>
    <w:rsid w:val="006A3CA7"/>
    <w:rsid w:val="006A5ED3"/>
    <w:rsid w:val="006A6A43"/>
    <w:rsid w:val="006A7AA4"/>
    <w:rsid w:val="006B018A"/>
    <w:rsid w:val="006B0B83"/>
    <w:rsid w:val="006B1DE6"/>
    <w:rsid w:val="006B2CE9"/>
    <w:rsid w:val="006B3146"/>
    <w:rsid w:val="006B5349"/>
    <w:rsid w:val="006B55A6"/>
    <w:rsid w:val="006C2D67"/>
    <w:rsid w:val="006C3626"/>
    <w:rsid w:val="006C37E1"/>
    <w:rsid w:val="006C6046"/>
    <w:rsid w:val="006C6235"/>
    <w:rsid w:val="006C73C4"/>
    <w:rsid w:val="006D1B82"/>
    <w:rsid w:val="006D3AFF"/>
    <w:rsid w:val="006D41F7"/>
    <w:rsid w:val="006D4309"/>
    <w:rsid w:val="006E0560"/>
    <w:rsid w:val="006E1E50"/>
    <w:rsid w:val="006E29A1"/>
    <w:rsid w:val="006E4F8C"/>
    <w:rsid w:val="006E6F17"/>
    <w:rsid w:val="006F0418"/>
    <w:rsid w:val="006F0B38"/>
    <w:rsid w:val="006F2FB1"/>
    <w:rsid w:val="006F4465"/>
    <w:rsid w:val="006F57A7"/>
    <w:rsid w:val="00700DB2"/>
    <w:rsid w:val="00701BF1"/>
    <w:rsid w:val="00704816"/>
    <w:rsid w:val="0070758D"/>
    <w:rsid w:val="007078FF"/>
    <w:rsid w:val="00710275"/>
    <w:rsid w:val="00712874"/>
    <w:rsid w:val="00715DD3"/>
    <w:rsid w:val="007177CC"/>
    <w:rsid w:val="00722A18"/>
    <w:rsid w:val="00723C9B"/>
    <w:rsid w:val="00724DC8"/>
    <w:rsid w:val="0072794F"/>
    <w:rsid w:val="007300C0"/>
    <w:rsid w:val="007312C4"/>
    <w:rsid w:val="00731388"/>
    <w:rsid w:val="007315C3"/>
    <w:rsid w:val="00732043"/>
    <w:rsid w:val="00732875"/>
    <w:rsid w:val="007336A4"/>
    <w:rsid w:val="0073680D"/>
    <w:rsid w:val="0073776E"/>
    <w:rsid w:val="00740C97"/>
    <w:rsid w:val="007410BB"/>
    <w:rsid w:val="00743A43"/>
    <w:rsid w:val="0074502C"/>
    <w:rsid w:val="007462EE"/>
    <w:rsid w:val="007536A9"/>
    <w:rsid w:val="007540AA"/>
    <w:rsid w:val="00754603"/>
    <w:rsid w:val="00755164"/>
    <w:rsid w:val="00755A96"/>
    <w:rsid w:val="00756439"/>
    <w:rsid w:val="00760617"/>
    <w:rsid w:val="00761D8D"/>
    <w:rsid w:val="00763DA3"/>
    <w:rsid w:val="00764190"/>
    <w:rsid w:val="007648E1"/>
    <w:rsid w:val="00765A9E"/>
    <w:rsid w:val="00766E50"/>
    <w:rsid w:val="00770168"/>
    <w:rsid w:val="0077103E"/>
    <w:rsid w:val="007710AA"/>
    <w:rsid w:val="007755CD"/>
    <w:rsid w:val="00776248"/>
    <w:rsid w:val="00780A92"/>
    <w:rsid w:val="007819DB"/>
    <w:rsid w:val="007832E9"/>
    <w:rsid w:val="007839AE"/>
    <w:rsid w:val="00785B66"/>
    <w:rsid w:val="00787820"/>
    <w:rsid w:val="00790E62"/>
    <w:rsid w:val="0079268B"/>
    <w:rsid w:val="007937DA"/>
    <w:rsid w:val="00793DA6"/>
    <w:rsid w:val="007A1EC9"/>
    <w:rsid w:val="007A4F61"/>
    <w:rsid w:val="007A4FC1"/>
    <w:rsid w:val="007A53D8"/>
    <w:rsid w:val="007A5B12"/>
    <w:rsid w:val="007A5CD0"/>
    <w:rsid w:val="007A74BB"/>
    <w:rsid w:val="007B2B4D"/>
    <w:rsid w:val="007B2E43"/>
    <w:rsid w:val="007B2EC4"/>
    <w:rsid w:val="007B31E9"/>
    <w:rsid w:val="007B470A"/>
    <w:rsid w:val="007B4BB7"/>
    <w:rsid w:val="007B5EF9"/>
    <w:rsid w:val="007B6509"/>
    <w:rsid w:val="007B67AC"/>
    <w:rsid w:val="007B712D"/>
    <w:rsid w:val="007C080A"/>
    <w:rsid w:val="007C1445"/>
    <w:rsid w:val="007C2165"/>
    <w:rsid w:val="007C278A"/>
    <w:rsid w:val="007C290E"/>
    <w:rsid w:val="007C3060"/>
    <w:rsid w:val="007C386A"/>
    <w:rsid w:val="007C394C"/>
    <w:rsid w:val="007C3A3F"/>
    <w:rsid w:val="007C57EB"/>
    <w:rsid w:val="007D0135"/>
    <w:rsid w:val="007D2103"/>
    <w:rsid w:val="007D287F"/>
    <w:rsid w:val="007D5217"/>
    <w:rsid w:val="007D57ED"/>
    <w:rsid w:val="007D59AE"/>
    <w:rsid w:val="007D6052"/>
    <w:rsid w:val="007E0524"/>
    <w:rsid w:val="007E4A63"/>
    <w:rsid w:val="007E53E1"/>
    <w:rsid w:val="007E7CDD"/>
    <w:rsid w:val="007F199E"/>
    <w:rsid w:val="007F2325"/>
    <w:rsid w:val="007F39A1"/>
    <w:rsid w:val="007F59DE"/>
    <w:rsid w:val="007F7CA8"/>
    <w:rsid w:val="00805ED6"/>
    <w:rsid w:val="008078FF"/>
    <w:rsid w:val="00810935"/>
    <w:rsid w:val="00813B88"/>
    <w:rsid w:val="00814774"/>
    <w:rsid w:val="00815729"/>
    <w:rsid w:val="008174D2"/>
    <w:rsid w:val="00817798"/>
    <w:rsid w:val="00821262"/>
    <w:rsid w:val="00821EB8"/>
    <w:rsid w:val="00822FD8"/>
    <w:rsid w:val="00823136"/>
    <w:rsid w:val="008235F8"/>
    <w:rsid w:val="00823B94"/>
    <w:rsid w:val="00823BE3"/>
    <w:rsid w:val="00824509"/>
    <w:rsid w:val="00824B3B"/>
    <w:rsid w:val="00825055"/>
    <w:rsid w:val="008265D6"/>
    <w:rsid w:val="0083328D"/>
    <w:rsid w:val="00833439"/>
    <w:rsid w:val="00833E87"/>
    <w:rsid w:val="00840F72"/>
    <w:rsid w:val="0084119E"/>
    <w:rsid w:val="00847540"/>
    <w:rsid w:val="008513D8"/>
    <w:rsid w:val="008520C2"/>
    <w:rsid w:val="00852A7D"/>
    <w:rsid w:val="00856B41"/>
    <w:rsid w:val="008574E2"/>
    <w:rsid w:val="00857DEC"/>
    <w:rsid w:val="00860C3E"/>
    <w:rsid w:val="0086339C"/>
    <w:rsid w:val="00864085"/>
    <w:rsid w:val="00864998"/>
    <w:rsid w:val="00865A75"/>
    <w:rsid w:val="00865DB4"/>
    <w:rsid w:val="008706B7"/>
    <w:rsid w:val="00872E1C"/>
    <w:rsid w:val="008732A0"/>
    <w:rsid w:val="0087430F"/>
    <w:rsid w:val="00880840"/>
    <w:rsid w:val="00881B6C"/>
    <w:rsid w:val="008844A2"/>
    <w:rsid w:val="00886084"/>
    <w:rsid w:val="008860B0"/>
    <w:rsid w:val="0088631F"/>
    <w:rsid w:val="0089015E"/>
    <w:rsid w:val="0089080C"/>
    <w:rsid w:val="00893497"/>
    <w:rsid w:val="00893796"/>
    <w:rsid w:val="00893961"/>
    <w:rsid w:val="00894F12"/>
    <w:rsid w:val="008972AF"/>
    <w:rsid w:val="008A0DFB"/>
    <w:rsid w:val="008A2B77"/>
    <w:rsid w:val="008A3A8D"/>
    <w:rsid w:val="008A3EA7"/>
    <w:rsid w:val="008B2047"/>
    <w:rsid w:val="008B3CD9"/>
    <w:rsid w:val="008B50E5"/>
    <w:rsid w:val="008C2DBE"/>
    <w:rsid w:val="008C33B1"/>
    <w:rsid w:val="008C3589"/>
    <w:rsid w:val="008C3DAA"/>
    <w:rsid w:val="008C448E"/>
    <w:rsid w:val="008C51AC"/>
    <w:rsid w:val="008C64AA"/>
    <w:rsid w:val="008C6DD7"/>
    <w:rsid w:val="008C72E5"/>
    <w:rsid w:val="008D07FF"/>
    <w:rsid w:val="008D1222"/>
    <w:rsid w:val="008D7246"/>
    <w:rsid w:val="008D79F2"/>
    <w:rsid w:val="008E0B6F"/>
    <w:rsid w:val="008E0FD4"/>
    <w:rsid w:val="008E293F"/>
    <w:rsid w:val="008E30B5"/>
    <w:rsid w:val="008E758B"/>
    <w:rsid w:val="008E794C"/>
    <w:rsid w:val="008F1E34"/>
    <w:rsid w:val="008F3AA1"/>
    <w:rsid w:val="008F4C58"/>
    <w:rsid w:val="008F4EBB"/>
    <w:rsid w:val="008F5CFE"/>
    <w:rsid w:val="008F7530"/>
    <w:rsid w:val="008F78AB"/>
    <w:rsid w:val="008F7A59"/>
    <w:rsid w:val="009028C2"/>
    <w:rsid w:val="009038F7"/>
    <w:rsid w:val="009042C8"/>
    <w:rsid w:val="009049E2"/>
    <w:rsid w:val="00907006"/>
    <w:rsid w:val="00907013"/>
    <w:rsid w:val="00911A74"/>
    <w:rsid w:val="0091263C"/>
    <w:rsid w:val="0091312C"/>
    <w:rsid w:val="009146F4"/>
    <w:rsid w:val="00916196"/>
    <w:rsid w:val="00917204"/>
    <w:rsid w:val="0092033B"/>
    <w:rsid w:val="00920974"/>
    <w:rsid w:val="0092344C"/>
    <w:rsid w:val="00923D54"/>
    <w:rsid w:val="009266E2"/>
    <w:rsid w:val="00930BD5"/>
    <w:rsid w:val="00931A79"/>
    <w:rsid w:val="00931BD8"/>
    <w:rsid w:val="00933B69"/>
    <w:rsid w:val="0093427C"/>
    <w:rsid w:val="0093646A"/>
    <w:rsid w:val="0094021C"/>
    <w:rsid w:val="00940666"/>
    <w:rsid w:val="009409D6"/>
    <w:rsid w:val="00941211"/>
    <w:rsid w:val="009436BC"/>
    <w:rsid w:val="009437DD"/>
    <w:rsid w:val="0094655C"/>
    <w:rsid w:val="00946586"/>
    <w:rsid w:val="00946629"/>
    <w:rsid w:val="009468C1"/>
    <w:rsid w:val="00947BAB"/>
    <w:rsid w:val="00947C87"/>
    <w:rsid w:val="009515D8"/>
    <w:rsid w:val="00951755"/>
    <w:rsid w:val="00953D16"/>
    <w:rsid w:val="00953E57"/>
    <w:rsid w:val="0095560E"/>
    <w:rsid w:val="00955A8A"/>
    <w:rsid w:val="00962C01"/>
    <w:rsid w:val="009652D7"/>
    <w:rsid w:val="00965A84"/>
    <w:rsid w:val="00970964"/>
    <w:rsid w:val="00970A03"/>
    <w:rsid w:val="00970C32"/>
    <w:rsid w:val="00970E32"/>
    <w:rsid w:val="00971464"/>
    <w:rsid w:val="009724DD"/>
    <w:rsid w:val="00973578"/>
    <w:rsid w:val="00973738"/>
    <w:rsid w:val="009750BA"/>
    <w:rsid w:val="00976DDB"/>
    <w:rsid w:val="00980E14"/>
    <w:rsid w:val="0098222F"/>
    <w:rsid w:val="00983C28"/>
    <w:rsid w:val="009846EE"/>
    <w:rsid w:val="00987943"/>
    <w:rsid w:val="00987CA7"/>
    <w:rsid w:val="0099063A"/>
    <w:rsid w:val="00991D60"/>
    <w:rsid w:val="0099287F"/>
    <w:rsid w:val="009974BE"/>
    <w:rsid w:val="00997695"/>
    <w:rsid w:val="009A21D0"/>
    <w:rsid w:val="009A2443"/>
    <w:rsid w:val="009A2680"/>
    <w:rsid w:val="009A2A0C"/>
    <w:rsid w:val="009A3139"/>
    <w:rsid w:val="009A4896"/>
    <w:rsid w:val="009A4B9D"/>
    <w:rsid w:val="009B27F8"/>
    <w:rsid w:val="009B281C"/>
    <w:rsid w:val="009B3AA8"/>
    <w:rsid w:val="009B464C"/>
    <w:rsid w:val="009B4877"/>
    <w:rsid w:val="009C7CE3"/>
    <w:rsid w:val="009D3162"/>
    <w:rsid w:val="009D5295"/>
    <w:rsid w:val="009D6B83"/>
    <w:rsid w:val="009E127E"/>
    <w:rsid w:val="009E132D"/>
    <w:rsid w:val="009E1CB8"/>
    <w:rsid w:val="009E3221"/>
    <w:rsid w:val="009E34EA"/>
    <w:rsid w:val="009E4BB1"/>
    <w:rsid w:val="009E5C8D"/>
    <w:rsid w:val="009E65F7"/>
    <w:rsid w:val="009E6627"/>
    <w:rsid w:val="009E6C39"/>
    <w:rsid w:val="009F14B4"/>
    <w:rsid w:val="009F170B"/>
    <w:rsid w:val="009F2810"/>
    <w:rsid w:val="009F3BDF"/>
    <w:rsid w:val="009F6B4F"/>
    <w:rsid w:val="00A001FD"/>
    <w:rsid w:val="00A00E57"/>
    <w:rsid w:val="00A06CAF"/>
    <w:rsid w:val="00A1072B"/>
    <w:rsid w:val="00A110E8"/>
    <w:rsid w:val="00A13CE6"/>
    <w:rsid w:val="00A155A1"/>
    <w:rsid w:val="00A164C5"/>
    <w:rsid w:val="00A22080"/>
    <w:rsid w:val="00A22DCE"/>
    <w:rsid w:val="00A247B6"/>
    <w:rsid w:val="00A25B48"/>
    <w:rsid w:val="00A3041D"/>
    <w:rsid w:val="00A30F94"/>
    <w:rsid w:val="00A319E6"/>
    <w:rsid w:val="00A33C9C"/>
    <w:rsid w:val="00A350F4"/>
    <w:rsid w:val="00A35159"/>
    <w:rsid w:val="00A35B2C"/>
    <w:rsid w:val="00A36CE3"/>
    <w:rsid w:val="00A3700D"/>
    <w:rsid w:val="00A37311"/>
    <w:rsid w:val="00A40A94"/>
    <w:rsid w:val="00A41329"/>
    <w:rsid w:val="00A42003"/>
    <w:rsid w:val="00A422D8"/>
    <w:rsid w:val="00A426E1"/>
    <w:rsid w:val="00A42A47"/>
    <w:rsid w:val="00A459F3"/>
    <w:rsid w:val="00A47978"/>
    <w:rsid w:val="00A50AF6"/>
    <w:rsid w:val="00A50DCF"/>
    <w:rsid w:val="00A52A83"/>
    <w:rsid w:val="00A52FB9"/>
    <w:rsid w:val="00A54A2E"/>
    <w:rsid w:val="00A56ED3"/>
    <w:rsid w:val="00A60DD4"/>
    <w:rsid w:val="00A64664"/>
    <w:rsid w:val="00A64FDC"/>
    <w:rsid w:val="00A65841"/>
    <w:rsid w:val="00A65B66"/>
    <w:rsid w:val="00A70068"/>
    <w:rsid w:val="00A70DDE"/>
    <w:rsid w:val="00A72CA6"/>
    <w:rsid w:val="00A74AF8"/>
    <w:rsid w:val="00A74C8A"/>
    <w:rsid w:val="00A754A7"/>
    <w:rsid w:val="00A75743"/>
    <w:rsid w:val="00A7780A"/>
    <w:rsid w:val="00A80A2F"/>
    <w:rsid w:val="00A812B3"/>
    <w:rsid w:val="00A815DA"/>
    <w:rsid w:val="00A832A7"/>
    <w:rsid w:val="00A837DC"/>
    <w:rsid w:val="00A847F2"/>
    <w:rsid w:val="00A84DA0"/>
    <w:rsid w:val="00A851D9"/>
    <w:rsid w:val="00A8628C"/>
    <w:rsid w:val="00A87385"/>
    <w:rsid w:val="00A91B43"/>
    <w:rsid w:val="00A93CFB"/>
    <w:rsid w:val="00A9798A"/>
    <w:rsid w:val="00A97D79"/>
    <w:rsid w:val="00AA0554"/>
    <w:rsid w:val="00AA14DB"/>
    <w:rsid w:val="00AA3760"/>
    <w:rsid w:val="00AA4467"/>
    <w:rsid w:val="00AA6250"/>
    <w:rsid w:val="00AA6B0D"/>
    <w:rsid w:val="00AA72A8"/>
    <w:rsid w:val="00AB005B"/>
    <w:rsid w:val="00AB2CEA"/>
    <w:rsid w:val="00AB5DD0"/>
    <w:rsid w:val="00AB663F"/>
    <w:rsid w:val="00AC023C"/>
    <w:rsid w:val="00AC318C"/>
    <w:rsid w:val="00AC3EB2"/>
    <w:rsid w:val="00AC45C4"/>
    <w:rsid w:val="00AC4717"/>
    <w:rsid w:val="00AC5351"/>
    <w:rsid w:val="00AC6AFF"/>
    <w:rsid w:val="00AD05F6"/>
    <w:rsid w:val="00AE01DF"/>
    <w:rsid w:val="00AE0AAC"/>
    <w:rsid w:val="00AE1E2C"/>
    <w:rsid w:val="00AE23E5"/>
    <w:rsid w:val="00AE2F65"/>
    <w:rsid w:val="00AE3172"/>
    <w:rsid w:val="00AE3AF7"/>
    <w:rsid w:val="00AE6632"/>
    <w:rsid w:val="00AE6B34"/>
    <w:rsid w:val="00AE7E66"/>
    <w:rsid w:val="00AF305C"/>
    <w:rsid w:val="00AF52E6"/>
    <w:rsid w:val="00AF64F9"/>
    <w:rsid w:val="00AF77D8"/>
    <w:rsid w:val="00AF79D0"/>
    <w:rsid w:val="00AF7F56"/>
    <w:rsid w:val="00B0019D"/>
    <w:rsid w:val="00B00376"/>
    <w:rsid w:val="00B0141F"/>
    <w:rsid w:val="00B02269"/>
    <w:rsid w:val="00B0349B"/>
    <w:rsid w:val="00B03DCE"/>
    <w:rsid w:val="00B04332"/>
    <w:rsid w:val="00B050BB"/>
    <w:rsid w:val="00B0609E"/>
    <w:rsid w:val="00B071BF"/>
    <w:rsid w:val="00B07454"/>
    <w:rsid w:val="00B12BA9"/>
    <w:rsid w:val="00B14735"/>
    <w:rsid w:val="00B14A13"/>
    <w:rsid w:val="00B17B6B"/>
    <w:rsid w:val="00B20264"/>
    <w:rsid w:val="00B21C07"/>
    <w:rsid w:val="00B229E5"/>
    <w:rsid w:val="00B23915"/>
    <w:rsid w:val="00B23E3E"/>
    <w:rsid w:val="00B2416D"/>
    <w:rsid w:val="00B25020"/>
    <w:rsid w:val="00B343F0"/>
    <w:rsid w:val="00B35B52"/>
    <w:rsid w:val="00B372C7"/>
    <w:rsid w:val="00B40C3B"/>
    <w:rsid w:val="00B40CAD"/>
    <w:rsid w:val="00B41C20"/>
    <w:rsid w:val="00B5129A"/>
    <w:rsid w:val="00B52DE9"/>
    <w:rsid w:val="00B53713"/>
    <w:rsid w:val="00B53D0D"/>
    <w:rsid w:val="00B54312"/>
    <w:rsid w:val="00B56918"/>
    <w:rsid w:val="00B62A44"/>
    <w:rsid w:val="00B63F93"/>
    <w:rsid w:val="00B652D2"/>
    <w:rsid w:val="00B668D7"/>
    <w:rsid w:val="00B677FD"/>
    <w:rsid w:val="00B70196"/>
    <w:rsid w:val="00B73BF9"/>
    <w:rsid w:val="00B74A9C"/>
    <w:rsid w:val="00B772C1"/>
    <w:rsid w:val="00B800EB"/>
    <w:rsid w:val="00B80576"/>
    <w:rsid w:val="00B839DE"/>
    <w:rsid w:val="00B84F6A"/>
    <w:rsid w:val="00B907BF"/>
    <w:rsid w:val="00B93BA7"/>
    <w:rsid w:val="00B96DEE"/>
    <w:rsid w:val="00BA015A"/>
    <w:rsid w:val="00BA2554"/>
    <w:rsid w:val="00BA2EC5"/>
    <w:rsid w:val="00BA3169"/>
    <w:rsid w:val="00BA404E"/>
    <w:rsid w:val="00BA4998"/>
    <w:rsid w:val="00BB0132"/>
    <w:rsid w:val="00BB2054"/>
    <w:rsid w:val="00BB2DB1"/>
    <w:rsid w:val="00BB3871"/>
    <w:rsid w:val="00BB5EBF"/>
    <w:rsid w:val="00BB6755"/>
    <w:rsid w:val="00BB7AF3"/>
    <w:rsid w:val="00BB7DB5"/>
    <w:rsid w:val="00BC19B8"/>
    <w:rsid w:val="00BC37BA"/>
    <w:rsid w:val="00BC37E4"/>
    <w:rsid w:val="00BC450D"/>
    <w:rsid w:val="00BC49E7"/>
    <w:rsid w:val="00BC7144"/>
    <w:rsid w:val="00BD1579"/>
    <w:rsid w:val="00BD1A0F"/>
    <w:rsid w:val="00BD29DD"/>
    <w:rsid w:val="00BD367D"/>
    <w:rsid w:val="00BD5CEB"/>
    <w:rsid w:val="00BE0787"/>
    <w:rsid w:val="00BE094E"/>
    <w:rsid w:val="00BE11F6"/>
    <w:rsid w:val="00BE1A62"/>
    <w:rsid w:val="00BE1AEF"/>
    <w:rsid w:val="00BE1BF3"/>
    <w:rsid w:val="00BE1E70"/>
    <w:rsid w:val="00BE2AD8"/>
    <w:rsid w:val="00BE428D"/>
    <w:rsid w:val="00BE53F0"/>
    <w:rsid w:val="00BE6630"/>
    <w:rsid w:val="00BE7356"/>
    <w:rsid w:val="00BE7C06"/>
    <w:rsid w:val="00BF042C"/>
    <w:rsid w:val="00BF158B"/>
    <w:rsid w:val="00BF18CE"/>
    <w:rsid w:val="00BF6515"/>
    <w:rsid w:val="00BF66B6"/>
    <w:rsid w:val="00BF7341"/>
    <w:rsid w:val="00C00159"/>
    <w:rsid w:val="00C001DC"/>
    <w:rsid w:val="00C017CD"/>
    <w:rsid w:val="00C01B33"/>
    <w:rsid w:val="00C02EC9"/>
    <w:rsid w:val="00C03349"/>
    <w:rsid w:val="00C039C7"/>
    <w:rsid w:val="00C03E9E"/>
    <w:rsid w:val="00C04E79"/>
    <w:rsid w:val="00C06ABA"/>
    <w:rsid w:val="00C06E14"/>
    <w:rsid w:val="00C10388"/>
    <w:rsid w:val="00C106BF"/>
    <w:rsid w:val="00C10839"/>
    <w:rsid w:val="00C108ED"/>
    <w:rsid w:val="00C13452"/>
    <w:rsid w:val="00C13AED"/>
    <w:rsid w:val="00C14219"/>
    <w:rsid w:val="00C17850"/>
    <w:rsid w:val="00C20937"/>
    <w:rsid w:val="00C20EEA"/>
    <w:rsid w:val="00C229A5"/>
    <w:rsid w:val="00C22CD2"/>
    <w:rsid w:val="00C22DE5"/>
    <w:rsid w:val="00C234BC"/>
    <w:rsid w:val="00C2418B"/>
    <w:rsid w:val="00C25EFB"/>
    <w:rsid w:val="00C30904"/>
    <w:rsid w:val="00C318C0"/>
    <w:rsid w:val="00C3670D"/>
    <w:rsid w:val="00C369B8"/>
    <w:rsid w:val="00C41C49"/>
    <w:rsid w:val="00C421E9"/>
    <w:rsid w:val="00C429CE"/>
    <w:rsid w:val="00C44663"/>
    <w:rsid w:val="00C460E0"/>
    <w:rsid w:val="00C465A3"/>
    <w:rsid w:val="00C4676F"/>
    <w:rsid w:val="00C52036"/>
    <w:rsid w:val="00C530B1"/>
    <w:rsid w:val="00C535FE"/>
    <w:rsid w:val="00C53FCB"/>
    <w:rsid w:val="00C55B06"/>
    <w:rsid w:val="00C6105B"/>
    <w:rsid w:val="00C6293E"/>
    <w:rsid w:val="00C64387"/>
    <w:rsid w:val="00C64D67"/>
    <w:rsid w:val="00C651A1"/>
    <w:rsid w:val="00C667A1"/>
    <w:rsid w:val="00C66B85"/>
    <w:rsid w:val="00C705FB"/>
    <w:rsid w:val="00C71DE8"/>
    <w:rsid w:val="00C72F3B"/>
    <w:rsid w:val="00C73E9E"/>
    <w:rsid w:val="00C766A1"/>
    <w:rsid w:val="00C777CF"/>
    <w:rsid w:val="00C77AEE"/>
    <w:rsid w:val="00C77F0E"/>
    <w:rsid w:val="00C83722"/>
    <w:rsid w:val="00C84676"/>
    <w:rsid w:val="00C84D7D"/>
    <w:rsid w:val="00C85952"/>
    <w:rsid w:val="00C859DE"/>
    <w:rsid w:val="00C867A2"/>
    <w:rsid w:val="00C87F65"/>
    <w:rsid w:val="00C918B6"/>
    <w:rsid w:val="00C9275E"/>
    <w:rsid w:val="00C93A80"/>
    <w:rsid w:val="00C94166"/>
    <w:rsid w:val="00C94BAB"/>
    <w:rsid w:val="00C96407"/>
    <w:rsid w:val="00C9707E"/>
    <w:rsid w:val="00C97756"/>
    <w:rsid w:val="00C97FA6"/>
    <w:rsid w:val="00CA4499"/>
    <w:rsid w:val="00CA49F0"/>
    <w:rsid w:val="00CA5419"/>
    <w:rsid w:val="00CA7A0B"/>
    <w:rsid w:val="00CB0A96"/>
    <w:rsid w:val="00CB0C13"/>
    <w:rsid w:val="00CB0F52"/>
    <w:rsid w:val="00CB0F82"/>
    <w:rsid w:val="00CB1D9B"/>
    <w:rsid w:val="00CB1F33"/>
    <w:rsid w:val="00CB2FCB"/>
    <w:rsid w:val="00CB4AFC"/>
    <w:rsid w:val="00CB5018"/>
    <w:rsid w:val="00CB53F3"/>
    <w:rsid w:val="00CB5F17"/>
    <w:rsid w:val="00CB7649"/>
    <w:rsid w:val="00CB79E4"/>
    <w:rsid w:val="00CC0F14"/>
    <w:rsid w:val="00CC3701"/>
    <w:rsid w:val="00CC6B1F"/>
    <w:rsid w:val="00CC6DB2"/>
    <w:rsid w:val="00CC72F3"/>
    <w:rsid w:val="00CD0681"/>
    <w:rsid w:val="00CD128A"/>
    <w:rsid w:val="00CD312A"/>
    <w:rsid w:val="00CD4000"/>
    <w:rsid w:val="00CD4D0D"/>
    <w:rsid w:val="00CD552B"/>
    <w:rsid w:val="00CD6969"/>
    <w:rsid w:val="00CD69E1"/>
    <w:rsid w:val="00CD7F70"/>
    <w:rsid w:val="00CE2E7C"/>
    <w:rsid w:val="00CE3174"/>
    <w:rsid w:val="00CE3177"/>
    <w:rsid w:val="00CE42D0"/>
    <w:rsid w:val="00CE4700"/>
    <w:rsid w:val="00CE61C7"/>
    <w:rsid w:val="00CF04F6"/>
    <w:rsid w:val="00CF1690"/>
    <w:rsid w:val="00CF199D"/>
    <w:rsid w:val="00CF2DC1"/>
    <w:rsid w:val="00CF3CD6"/>
    <w:rsid w:val="00CF3FD2"/>
    <w:rsid w:val="00CF54E0"/>
    <w:rsid w:val="00CF7D92"/>
    <w:rsid w:val="00D00798"/>
    <w:rsid w:val="00D01190"/>
    <w:rsid w:val="00D01583"/>
    <w:rsid w:val="00D01839"/>
    <w:rsid w:val="00D033F1"/>
    <w:rsid w:val="00D034D3"/>
    <w:rsid w:val="00D03D88"/>
    <w:rsid w:val="00D0554D"/>
    <w:rsid w:val="00D056BF"/>
    <w:rsid w:val="00D07BB9"/>
    <w:rsid w:val="00D13E92"/>
    <w:rsid w:val="00D1686A"/>
    <w:rsid w:val="00D17B2D"/>
    <w:rsid w:val="00D21080"/>
    <w:rsid w:val="00D21981"/>
    <w:rsid w:val="00D21A22"/>
    <w:rsid w:val="00D2367C"/>
    <w:rsid w:val="00D24514"/>
    <w:rsid w:val="00D2499A"/>
    <w:rsid w:val="00D30F37"/>
    <w:rsid w:val="00D32CF0"/>
    <w:rsid w:val="00D3355F"/>
    <w:rsid w:val="00D33DCB"/>
    <w:rsid w:val="00D34428"/>
    <w:rsid w:val="00D35DD0"/>
    <w:rsid w:val="00D37BCF"/>
    <w:rsid w:val="00D42617"/>
    <w:rsid w:val="00D43899"/>
    <w:rsid w:val="00D45EBC"/>
    <w:rsid w:val="00D469B2"/>
    <w:rsid w:val="00D46B46"/>
    <w:rsid w:val="00D476FC"/>
    <w:rsid w:val="00D512FC"/>
    <w:rsid w:val="00D518CC"/>
    <w:rsid w:val="00D52E13"/>
    <w:rsid w:val="00D55873"/>
    <w:rsid w:val="00D571F7"/>
    <w:rsid w:val="00D57469"/>
    <w:rsid w:val="00D60A86"/>
    <w:rsid w:val="00D618DD"/>
    <w:rsid w:val="00D62E15"/>
    <w:rsid w:val="00D668D9"/>
    <w:rsid w:val="00D72942"/>
    <w:rsid w:val="00D74942"/>
    <w:rsid w:val="00D75300"/>
    <w:rsid w:val="00D8119F"/>
    <w:rsid w:val="00D81FFD"/>
    <w:rsid w:val="00D84209"/>
    <w:rsid w:val="00D84BF5"/>
    <w:rsid w:val="00D85515"/>
    <w:rsid w:val="00D85FCF"/>
    <w:rsid w:val="00D92090"/>
    <w:rsid w:val="00D92A44"/>
    <w:rsid w:val="00D93B6F"/>
    <w:rsid w:val="00D94084"/>
    <w:rsid w:val="00D950FB"/>
    <w:rsid w:val="00D9751F"/>
    <w:rsid w:val="00DA1B3D"/>
    <w:rsid w:val="00DA26EE"/>
    <w:rsid w:val="00DA3F35"/>
    <w:rsid w:val="00DA47D0"/>
    <w:rsid w:val="00DA5688"/>
    <w:rsid w:val="00DB29E3"/>
    <w:rsid w:val="00DB3022"/>
    <w:rsid w:val="00DB348D"/>
    <w:rsid w:val="00DB4B82"/>
    <w:rsid w:val="00DB741E"/>
    <w:rsid w:val="00DC03C9"/>
    <w:rsid w:val="00DC7051"/>
    <w:rsid w:val="00DD042F"/>
    <w:rsid w:val="00DD0FAC"/>
    <w:rsid w:val="00DD1740"/>
    <w:rsid w:val="00DD1F73"/>
    <w:rsid w:val="00DD3C5F"/>
    <w:rsid w:val="00DD3F53"/>
    <w:rsid w:val="00DD483F"/>
    <w:rsid w:val="00DE10BE"/>
    <w:rsid w:val="00DE156F"/>
    <w:rsid w:val="00DE37BE"/>
    <w:rsid w:val="00DE3DE6"/>
    <w:rsid w:val="00DE40C7"/>
    <w:rsid w:val="00DE536B"/>
    <w:rsid w:val="00DE5FAB"/>
    <w:rsid w:val="00DE7427"/>
    <w:rsid w:val="00DF1E30"/>
    <w:rsid w:val="00DF449A"/>
    <w:rsid w:val="00DF50D8"/>
    <w:rsid w:val="00DF6E0A"/>
    <w:rsid w:val="00DF756C"/>
    <w:rsid w:val="00E01812"/>
    <w:rsid w:val="00E01BAD"/>
    <w:rsid w:val="00E039C4"/>
    <w:rsid w:val="00E11268"/>
    <w:rsid w:val="00E113E6"/>
    <w:rsid w:val="00E1186C"/>
    <w:rsid w:val="00E11A72"/>
    <w:rsid w:val="00E1465C"/>
    <w:rsid w:val="00E26C14"/>
    <w:rsid w:val="00E2773A"/>
    <w:rsid w:val="00E320D4"/>
    <w:rsid w:val="00E326FA"/>
    <w:rsid w:val="00E33486"/>
    <w:rsid w:val="00E37087"/>
    <w:rsid w:val="00E401CC"/>
    <w:rsid w:val="00E40407"/>
    <w:rsid w:val="00E405A2"/>
    <w:rsid w:val="00E41BEE"/>
    <w:rsid w:val="00E41CFD"/>
    <w:rsid w:val="00E41F0B"/>
    <w:rsid w:val="00E420E0"/>
    <w:rsid w:val="00E42CCB"/>
    <w:rsid w:val="00E44947"/>
    <w:rsid w:val="00E44CC5"/>
    <w:rsid w:val="00E479E4"/>
    <w:rsid w:val="00E509C5"/>
    <w:rsid w:val="00E5209C"/>
    <w:rsid w:val="00E536F0"/>
    <w:rsid w:val="00E55823"/>
    <w:rsid w:val="00E56DBB"/>
    <w:rsid w:val="00E608EE"/>
    <w:rsid w:val="00E60F9D"/>
    <w:rsid w:val="00E65696"/>
    <w:rsid w:val="00E66235"/>
    <w:rsid w:val="00E666D8"/>
    <w:rsid w:val="00E66814"/>
    <w:rsid w:val="00E67B08"/>
    <w:rsid w:val="00E706FE"/>
    <w:rsid w:val="00E742A7"/>
    <w:rsid w:val="00E75AD6"/>
    <w:rsid w:val="00E75FA8"/>
    <w:rsid w:val="00E807AF"/>
    <w:rsid w:val="00E81721"/>
    <w:rsid w:val="00E82830"/>
    <w:rsid w:val="00E84072"/>
    <w:rsid w:val="00E86584"/>
    <w:rsid w:val="00E903FB"/>
    <w:rsid w:val="00E925BD"/>
    <w:rsid w:val="00E961E5"/>
    <w:rsid w:val="00E971E5"/>
    <w:rsid w:val="00E97414"/>
    <w:rsid w:val="00E97D6F"/>
    <w:rsid w:val="00EA0117"/>
    <w:rsid w:val="00EA0B2F"/>
    <w:rsid w:val="00EA0C37"/>
    <w:rsid w:val="00EA1143"/>
    <w:rsid w:val="00EA148E"/>
    <w:rsid w:val="00EA19B9"/>
    <w:rsid w:val="00EA19F8"/>
    <w:rsid w:val="00EA1E7E"/>
    <w:rsid w:val="00EA2CEF"/>
    <w:rsid w:val="00EA3440"/>
    <w:rsid w:val="00EA3919"/>
    <w:rsid w:val="00EA4637"/>
    <w:rsid w:val="00EA4732"/>
    <w:rsid w:val="00EA6193"/>
    <w:rsid w:val="00EB20F8"/>
    <w:rsid w:val="00EB21DB"/>
    <w:rsid w:val="00EB36D3"/>
    <w:rsid w:val="00EB3E8A"/>
    <w:rsid w:val="00EB41E1"/>
    <w:rsid w:val="00EB4965"/>
    <w:rsid w:val="00EB7EA3"/>
    <w:rsid w:val="00EC01EB"/>
    <w:rsid w:val="00EC2854"/>
    <w:rsid w:val="00EC4246"/>
    <w:rsid w:val="00EC67B0"/>
    <w:rsid w:val="00EC796B"/>
    <w:rsid w:val="00EC7BA6"/>
    <w:rsid w:val="00ED1576"/>
    <w:rsid w:val="00ED1CC0"/>
    <w:rsid w:val="00ED3282"/>
    <w:rsid w:val="00ED745A"/>
    <w:rsid w:val="00ED76D5"/>
    <w:rsid w:val="00ED7715"/>
    <w:rsid w:val="00EE1EEC"/>
    <w:rsid w:val="00EE462B"/>
    <w:rsid w:val="00EE665D"/>
    <w:rsid w:val="00EF48D7"/>
    <w:rsid w:val="00EF49FC"/>
    <w:rsid w:val="00EF4F57"/>
    <w:rsid w:val="00EF7004"/>
    <w:rsid w:val="00F0019F"/>
    <w:rsid w:val="00F002D8"/>
    <w:rsid w:val="00F0045B"/>
    <w:rsid w:val="00F005D5"/>
    <w:rsid w:val="00F01632"/>
    <w:rsid w:val="00F02161"/>
    <w:rsid w:val="00F03459"/>
    <w:rsid w:val="00F057BF"/>
    <w:rsid w:val="00F057E8"/>
    <w:rsid w:val="00F06493"/>
    <w:rsid w:val="00F072AE"/>
    <w:rsid w:val="00F10F19"/>
    <w:rsid w:val="00F110CE"/>
    <w:rsid w:val="00F11548"/>
    <w:rsid w:val="00F118B0"/>
    <w:rsid w:val="00F11965"/>
    <w:rsid w:val="00F13C30"/>
    <w:rsid w:val="00F13D59"/>
    <w:rsid w:val="00F14F9B"/>
    <w:rsid w:val="00F1625E"/>
    <w:rsid w:val="00F1640D"/>
    <w:rsid w:val="00F168F8"/>
    <w:rsid w:val="00F169F7"/>
    <w:rsid w:val="00F17279"/>
    <w:rsid w:val="00F17EFB"/>
    <w:rsid w:val="00F17FD7"/>
    <w:rsid w:val="00F2190F"/>
    <w:rsid w:val="00F22889"/>
    <w:rsid w:val="00F22FF8"/>
    <w:rsid w:val="00F23F7B"/>
    <w:rsid w:val="00F25163"/>
    <w:rsid w:val="00F26C49"/>
    <w:rsid w:val="00F31EAE"/>
    <w:rsid w:val="00F32D7B"/>
    <w:rsid w:val="00F342CC"/>
    <w:rsid w:val="00F3468A"/>
    <w:rsid w:val="00F3501C"/>
    <w:rsid w:val="00F40D58"/>
    <w:rsid w:val="00F4216D"/>
    <w:rsid w:val="00F424E1"/>
    <w:rsid w:val="00F43F25"/>
    <w:rsid w:val="00F446A2"/>
    <w:rsid w:val="00F45F68"/>
    <w:rsid w:val="00F46558"/>
    <w:rsid w:val="00F46B15"/>
    <w:rsid w:val="00F519C0"/>
    <w:rsid w:val="00F53DC5"/>
    <w:rsid w:val="00F56B59"/>
    <w:rsid w:val="00F65E2F"/>
    <w:rsid w:val="00F67C4C"/>
    <w:rsid w:val="00F67EC9"/>
    <w:rsid w:val="00F70438"/>
    <w:rsid w:val="00F705DF"/>
    <w:rsid w:val="00F741F9"/>
    <w:rsid w:val="00F74F10"/>
    <w:rsid w:val="00F76A33"/>
    <w:rsid w:val="00F777E6"/>
    <w:rsid w:val="00F77C2D"/>
    <w:rsid w:val="00F77F24"/>
    <w:rsid w:val="00F809EE"/>
    <w:rsid w:val="00F81BB0"/>
    <w:rsid w:val="00F84FDA"/>
    <w:rsid w:val="00F9255E"/>
    <w:rsid w:val="00F92AEC"/>
    <w:rsid w:val="00F93145"/>
    <w:rsid w:val="00F94494"/>
    <w:rsid w:val="00F95552"/>
    <w:rsid w:val="00F969D7"/>
    <w:rsid w:val="00F97C3F"/>
    <w:rsid w:val="00FA09D5"/>
    <w:rsid w:val="00FA13B8"/>
    <w:rsid w:val="00FA2D16"/>
    <w:rsid w:val="00FA5C36"/>
    <w:rsid w:val="00FA7BF0"/>
    <w:rsid w:val="00FB26B7"/>
    <w:rsid w:val="00FB63AC"/>
    <w:rsid w:val="00FB71E4"/>
    <w:rsid w:val="00FB7656"/>
    <w:rsid w:val="00FB7741"/>
    <w:rsid w:val="00FB7F2F"/>
    <w:rsid w:val="00FC16FA"/>
    <w:rsid w:val="00FC1FC5"/>
    <w:rsid w:val="00FC3D71"/>
    <w:rsid w:val="00FC3FFA"/>
    <w:rsid w:val="00FC4114"/>
    <w:rsid w:val="00FC5C9E"/>
    <w:rsid w:val="00FC6620"/>
    <w:rsid w:val="00FD0AF4"/>
    <w:rsid w:val="00FD2867"/>
    <w:rsid w:val="00FD3C02"/>
    <w:rsid w:val="00FD5BF7"/>
    <w:rsid w:val="00FD61B0"/>
    <w:rsid w:val="00FD6FC3"/>
    <w:rsid w:val="00FD7097"/>
    <w:rsid w:val="00FE0744"/>
    <w:rsid w:val="00FE12CC"/>
    <w:rsid w:val="00FE43C7"/>
    <w:rsid w:val="00FE4633"/>
    <w:rsid w:val="00FE50D8"/>
    <w:rsid w:val="00FE7CB4"/>
    <w:rsid w:val="00FF2F09"/>
    <w:rsid w:val="00FF7B0C"/>
    <w:rsid w:val="01CB4D27"/>
    <w:rsid w:val="06930084"/>
    <w:rsid w:val="09390A49"/>
    <w:rsid w:val="0AAD5C78"/>
    <w:rsid w:val="0C2807CA"/>
    <w:rsid w:val="0C8223E1"/>
    <w:rsid w:val="0D9F23C8"/>
    <w:rsid w:val="106C439D"/>
    <w:rsid w:val="10E10729"/>
    <w:rsid w:val="12A260AF"/>
    <w:rsid w:val="14FD76B7"/>
    <w:rsid w:val="1A3862B4"/>
    <w:rsid w:val="1F6216DA"/>
    <w:rsid w:val="23924F92"/>
    <w:rsid w:val="27917361"/>
    <w:rsid w:val="2AB20D2C"/>
    <w:rsid w:val="2C851D29"/>
    <w:rsid w:val="34FB5B32"/>
    <w:rsid w:val="3A9B70E4"/>
    <w:rsid w:val="3BC41AAE"/>
    <w:rsid w:val="3E432CB5"/>
    <w:rsid w:val="3FAE35F1"/>
    <w:rsid w:val="491B6347"/>
    <w:rsid w:val="4D991147"/>
    <w:rsid w:val="501E56CA"/>
    <w:rsid w:val="51A00BE6"/>
    <w:rsid w:val="51A61D00"/>
    <w:rsid w:val="528B6D6D"/>
    <w:rsid w:val="539824CE"/>
    <w:rsid w:val="544E6D34"/>
    <w:rsid w:val="546F3355"/>
    <w:rsid w:val="554677CF"/>
    <w:rsid w:val="596B473A"/>
    <w:rsid w:val="59BA135C"/>
    <w:rsid w:val="5A9754A9"/>
    <w:rsid w:val="5C474329"/>
    <w:rsid w:val="614B09AE"/>
    <w:rsid w:val="620B5118"/>
    <w:rsid w:val="636D3493"/>
    <w:rsid w:val="63E30003"/>
    <w:rsid w:val="64892CA2"/>
    <w:rsid w:val="651A7DAA"/>
    <w:rsid w:val="6BB34801"/>
    <w:rsid w:val="706F4939"/>
    <w:rsid w:val="711A5CE8"/>
    <w:rsid w:val="758D08C7"/>
    <w:rsid w:val="78843FA1"/>
    <w:rsid w:val="7D6E6E2E"/>
    <w:rsid w:val="7E3C40C2"/>
    <w:rsid w:val="7E93096C"/>
    <w:rsid w:val="7EDA5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1D4ACD-2028-4013-9CE1-97E967C88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eastAsia="黑体"/>
      <w:b/>
      <w:bCs/>
      <w:color w:val="FF0000"/>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微软雅黑" w:hAnsiTheme="majorHAnsi" w:cstheme="majorBidi"/>
      <w:b/>
      <w:bCs/>
      <w:color w:val="00B0F0"/>
      <w:sz w:val="40"/>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5">
    <w:name w:val="heading 5"/>
    <w:basedOn w:val="a"/>
    <w:next w:val="a"/>
    <w:link w:val="5Char"/>
    <w:uiPriority w:val="9"/>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11046"/>
      </w:tabs>
      <w:adjustRightInd w:val="0"/>
      <w:snapToGrid w:val="0"/>
    </w:pPr>
  </w:style>
  <w:style w:type="paragraph" w:styleId="20">
    <w:name w:val="toc 2"/>
    <w:basedOn w:val="a"/>
    <w:next w:val="a"/>
    <w:uiPriority w:val="39"/>
    <w:unhideWhenUsed/>
    <w:qFormat/>
    <w:pPr>
      <w:ind w:leftChars="200" w:left="420"/>
    </w:p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styleId="a8">
    <w:name w:val="FollowedHyperlink"/>
    <w:basedOn w:val="a0"/>
    <w:uiPriority w:val="99"/>
    <w:unhideWhenUsed/>
    <w:qFormat/>
    <w:rPr>
      <w:color w:val="800080" w:themeColor="followedHyperlink"/>
      <w:u w:val="single"/>
    </w:rPr>
  </w:style>
  <w:style w:type="character" w:styleId="a9">
    <w:name w:val="Emphasis"/>
    <w:basedOn w:val="a0"/>
    <w:uiPriority w:val="20"/>
    <w:qFormat/>
    <w:rPr>
      <w:rFonts w:eastAsia="微软雅黑"/>
      <w:b/>
      <w:iCs/>
      <w:color w:val="FF0000"/>
      <w:sz w:val="32"/>
    </w:rPr>
  </w:style>
  <w:style w:type="character" w:styleId="aa">
    <w:name w:val="Hyperlink"/>
    <w:basedOn w:val="a0"/>
    <w:uiPriority w:val="99"/>
    <w:unhideWhenUsed/>
    <w:qFormat/>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character" w:customStyle="1" w:styleId="1Char">
    <w:name w:val="标题 1 Char"/>
    <w:basedOn w:val="a0"/>
    <w:link w:val="1"/>
    <w:uiPriority w:val="9"/>
    <w:qFormat/>
    <w:rPr>
      <w:rFonts w:eastAsia="黑体"/>
      <w:b/>
      <w:bCs/>
      <w:color w:val="FF0000"/>
      <w:kern w:val="44"/>
      <w:sz w:val="44"/>
      <w:szCs w:val="44"/>
    </w:rPr>
  </w:style>
  <w:style w:type="paragraph" w:customStyle="1" w:styleId="11">
    <w:name w:val="无间隔1"/>
    <w:uiPriority w:val="1"/>
    <w:qFormat/>
    <w:pPr>
      <w:widowControl w:val="0"/>
      <w:spacing w:line="360" w:lineRule="auto"/>
      <w:jc w:val="both"/>
    </w:pPr>
    <w:rPr>
      <w:rFonts w:asciiTheme="minorHAnsi" w:eastAsiaTheme="minorEastAsia" w:hAnsiTheme="minorHAnsi" w:cstheme="minorBidi"/>
      <w:kern w:val="2"/>
      <w:sz w:val="32"/>
      <w:szCs w:val="22"/>
    </w:rPr>
  </w:style>
  <w:style w:type="character" w:customStyle="1" w:styleId="2Char">
    <w:name w:val="标题 2 Char"/>
    <w:basedOn w:val="a0"/>
    <w:link w:val="2"/>
    <w:uiPriority w:val="9"/>
    <w:qFormat/>
    <w:rPr>
      <w:rFonts w:asciiTheme="majorHAnsi" w:eastAsia="微软雅黑" w:hAnsiTheme="majorHAnsi" w:cstheme="majorBidi"/>
      <w:b/>
      <w:bCs/>
      <w:color w:val="00B0F0"/>
      <w:sz w:val="40"/>
      <w:szCs w:val="32"/>
    </w:rPr>
  </w:style>
  <w:style w:type="character" w:customStyle="1" w:styleId="infomblog">
    <w:name w:val="infomblog"/>
    <w:basedOn w:val="a0"/>
    <w:qFormat/>
  </w:style>
  <w:style w:type="character" w:customStyle="1" w:styleId="3Char">
    <w:name w:val="标题 3 Char"/>
    <w:basedOn w:val="a0"/>
    <w:link w:val="3"/>
    <w:uiPriority w:val="9"/>
    <w:qFormat/>
    <w:rPr>
      <w:b/>
      <w:bCs/>
      <w:sz w:val="32"/>
      <w:szCs w:val="32"/>
    </w:rPr>
  </w:style>
  <w:style w:type="character" w:customStyle="1" w:styleId="tt">
    <w:name w:val="tt"/>
    <w:basedOn w:val="a0"/>
    <w:qFormat/>
  </w:style>
  <w:style w:type="character" w:customStyle="1" w:styleId="gray">
    <w:name w:val="gray"/>
    <w:basedOn w:val="a0"/>
    <w:qFormat/>
  </w:style>
  <w:style w:type="character" w:customStyle="1" w:styleId="green">
    <w:name w:val="green"/>
    <w:basedOn w:val="a0"/>
    <w:qFormat/>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5Char">
    <w:name w:val="标题 5 Char"/>
    <w:basedOn w:val="a0"/>
    <w:link w:val="5"/>
    <w:uiPriority w:val="9"/>
    <w:semiHidden/>
    <w:qFormat/>
    <w:rPr>
      <w:b/>
      <w:bCs/>
      <w:sz w:val="28"/>
      <w:szCs w:val="28"/>
    </w:rPr>
  </w:style>
  <w:style w:type="character" w:customStyle="1" w:styleId="mh-title2">
    <w:name w:val="mh-title2"/>
    <w:basedOn w:val="a0"/>
    <w:qFormat/>
  </w:style>
  <w:style w:type="character" w:customStyle="1" w:styleId="agreen">
    <w:name w:val="agreen"/>
    <w:basedOn w:val="a0"/>
    <w:qFormat/>
  </w:style>
  <w:style w:type="character" w:customStyle="1" w:styleId="ared">
    <w:name w:val="ared"/>
    <w:basedOn w:val="a0"/>
    <w:qFormat/>
  </w:style>
  <w:style w:type="character" w:customStyle="1" w:styleId="nr1">
    <w:name w:val="nr1"/>
    <w:basedOn w:val="a0"/>
    <w:qFormat/>
    <w:rPr>
      <w:sz w:val="21"/>
      <w:szCs w:val="21"/>
    </w:rPr>
  </w:style>
  <w:style w:type="character" w:customStyle="1" w:styleId="ifenglogo2">
    <w:name w:val="ifenglogo2"/>
    <w:basedOn w:val="a0"/>
    <w:qFormat/>
  </w:style>
  <w:style w:type="character" w:customStyle="1" w:styleId="ifenglogo">
    <w:name w:val="ifenglogo"/>
    <w:basedOn w:val="a0"/>
    <w:qFormat/>
  </w:style>
  <w:style w:type="character" w:customStyle="1" w:styleId="apple-converted-space">
    <w:name w:val="apple-converted-space"/>
    <w:basedOn w:val="a0"/>
    <w:qFormat/>
  </w:style>
  <w:style w:type="character" w:customStyle="1" w:styleId="time-source">
    <w:name w:val="time-source"/>
    <w:basedOn w:val="a0"/>
    <w:qFormat/>
  </w:style>
  <w:style w:type="character" w:customStyle="1" w:styleId="hqspan">
    <w:name w:val="hqspan"/>
    <w:basedOn w:val="a0"/>
    <w:qFormat/>
  </w:style>
  <w:style w:type="character" w:customStyle="1" w:styleId="hkhqspan">
    <w:name w:val="hk_hqspan"/>
    <w:basedOn w:val="a0"/>
    <w:qFormat/>
  </w:style>
  <w:style w:type="character" w:customStyle="1" w:styleId="3j3insz16qo03vbd8xtfg">
    <w:name w:val="_3j3insz16qo03_vbd8xtfg"/>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70792">
      <w:bodyDiv w:val="1"/>
      <w:marLeft w:val="0"/>
      <w:marRight w:val="0"/>
      <w:marTop w:val="0"/>
      <w:marBottom w:val="0"/>
      <w:divBdr>
        <w:top w:val="none" w:sz="0" w:space="0" w:color="auto"/>
        <w:left w:val="none" w:sz="0" w:space="0" w:color="auto"/>
        <w:bottom w:val="none" w:sz="0" w:space="0" w:color="auto"/>
        <w:right w:val="none" w:sz="0" w:space="0" w:color="auto"/>
      </w:divBdr>
    </w:div>
    <w:div w:id="59641546">
      <w:bodyDiv w:val="1"/>
      <w:marLeft w:val="0"/>
      <w:marRight w:val="0"/>
      <w:marTop w:val="0"/>
      <w:marBottom w:val="0"/>
      <w:divBdr>
        <w:top w:val="none" w:sz="0" w:space="0" w:color="auto"/>
        <w:left w:val="none" w:sz="0" w:space="0" w:color="auto"/>
        <w:bottom w:val="none" w:sz="0" w:space="0" w:color="auto"/>
        <w:right w:val="none" w:sz="0" w:space="0" w:color="auto"/>
      </w:divBdr>
    </w:div>
    <w:div w:id="94718431">
      <w:bodyDiv w:val="1"/>
      <w:marLeft w:val="0"/>
      <w:marRight w:val="0"/>
      <w:marTop w:val="0"/>
      <w:marBottom w:val="0"/>
      <w:divBdr>
        <w:top w:val="none" w:sz="0" w:space="0" w:color="auto"/>
        <w:left w:val="none" w:sz="0" w:space="0" w:color="auto"/>
        <w:bottom w:val="none" w:sz="0" w:space="0" w:color="auto"/>
        <w:right w:val="none" w:sz="0" w:space="0" w:color="auto"/>
      </w:divBdr>
    </w:div>
    <w:div w:id="102268320">
      <w:bodyDiv w:val="1"/>
      <w:marLeft w:val="0"/>
      <w:marRight w:val="0"/>
      <w:marTop w:val="0"/>
      <w:marBottom w:val="0"/>
      <w:divBdr>
        <w:top w:val="none" w:sz="0" w:space="0" w:color="auto"/>
        <w:left w:val="none" w:sz="0" w:space="0" w:color="auto"/>
        <w:bottom w:val="none" w:sz="0" w:space="0" w:color="auto"/>
        <w:right w:val="none" w:sz="0" w:space="0" w:color="auto"/>
      </w:divBdr>
    </w:div>
    <w:div w:id="122886757">
      <w:bodyDiv w:val="1"/>
      <w:marLeft w:val="0"/>
      <w:marRight w:val="0"/>
      <w:marTop w:val="0"/>
      <w:marBottom w:val="0"/>
      <w:divBdr>
        <w:top w:val="none" w:sz="0" w:space="0" w:color="auto"/>
        <w:left w:val="none" w:sz="0" w:space="0" w:color="auto"/>
        <w:bottom w:val="none" w:sz="0" w:space="0" w:color="auto"/>
        <w:right w:val="none" w:sz="0" w:space="0" w:color="auto"/>
      </w:divBdr>
    </w:div>
    <w:div w:id="125851703">
      <w:bodyDiv w:val="1"/>
      <w:marLeft w:val="0"/>
      <w:marRight w:val="0"/>
      <w:marTop w:val="0"/>
      <w:marBottom w:val="0"/>
      <w:divBdr>
        <w:top w:val="none" w:sz="0" w:space="0" w:color="auto"/>
        <w:left w:val="none" w:sz="0" w:space="0" w:color="auto"/>
        <w:bottom w:val="none" w:sz="0" w:space="0" w:color="auto"/>
        <w:right w:val="none" w:sz="0" w:space="0" w:color="auto"/>
      </w:divBdr>
    </w:div>
    <w:div w:id="192310218">
      <w:bodyDiv w:val="1"/>
      <w:marLeft w:val="0"/>
      <w:marRight w:val="0"/>
      <w:marTop w:val="0"/>
      <w:marBottom w:val="0"/>
      <w:divBdr>
        <w:top w:val="none" w:sz="0" w:space="0" w:color="auto"/>
        <w:left w:val="none" w:sz="0" w:space="0" w:color="auto"/>
        <w:bottom w:val="none" w:sz="0" w:space="0" w:color="auto"/>
        <w:right w:val="none" w:sz="0" w:space="0" w:color="auto"/>
      </w:divBdr>
    </w:div>
    <w:div w:id="236794751">
      <w:bodyDiv w:val="1"/>
      <w:marLeft w:val="0"/>
      <w:marRight w:val="0"/>
      <w:marTop w:val="0"/>
      <w:marBottom w:val="0"/>
      <w:divBdr>
        <w:top w:val="none" w:sz="0" w:space="0" w:color="auto"/>
        <w:left w:val="none" w:sz="0" w:space="0" w:color="auto"/>
        <w:bottom w:val="none" w:sz="0" w:space="0" w:color="auto"/>
        <w:right w:val="none" w:sz="0" w:space="0" w:color="auto"/>
      </w:divBdr>
    </w:div>
    <w:div w:id="298456233">
      <w:bodyDiv w:val="1"/>
      <w:marLeft w:val="0"/>
      <w:marRight w:val="0"/>
      <w:marTop w:val="0"/>
      <w:marBottom w:val="0"/>
      <w:divBdr>
        <w:top w:val="none" w:sz="0" w:space="0" w:color="auto"/>
        <w:left w:val="none" w:sz="0" w:space="0" w:color="auto"/>
        <w:bottom w:val="none" w:sz="0" w:space="0" w:color="auto"/>
        <w:right w:val="none" w:sz="0" w:space="0" w:color="auto"/>
      </w:divBdr>
    </w:div>
    <w:div w:id="378893642">
      <w:bodyDiv w:val="1"/>
      <w:marLeft w:val="0"/>
      <w:marRight w:val="0"/>
      <w:marTop w:val="0"/>
      <w:marBottom w:val="0"/>
      <w:divBdr>
        <w:top w:val="none" w:sz="0" w:space="0" w:color="auto"/>
        <w:left w:val="none" w:sz="0" w:space="0" w:color="auto"/>
        <w:bottom w:val="none" w:sz="0" w:space="0" w:color="auto"/>
        <w:right w:val="none" w:sz="0" w:space="0" w:color="auto"/>
      </w:divBdr>
    </w:div>
    <w:div w:id="437025738">
      <w:bodyDiv w:val="1"/>
      <w:marLeft w:val="0"/>
      <w:marRight w:val="0"/>
      <w:marTop w:val="0"/>
      <w:marBottom w:val="0"/>
      <w:divBdr>
        <w:top w:val="none" w:sz="0" w:space="0" w:color="auto"/>
        <w:left w:val="none" w:sz="0" w:space="0" w:color="auto"/>
        <w:bottom w:val="none" w:sz="0" w:space="0" w:color="auto"/>
        <w:right w:val="none" w:sz="0" w:space="0" w:color="auto"/>
      </w:divBdr>
    </w:div>
    <w:div w:id="456223398">
      <w:bodyDiv w:val="1"/>
      <w:marLeft w:val="0"/>
      <w:marRight w:val="0"/>
      <w:marTop w:val="0"/>
      <w:marBottom w:val="0"/>
      <w:divBdr>
        <w:top w:val="none" w:sz="0" w:space="0" w:color="auto"/>
        <w:left w:val="none" w:sz="0" w:space="0" w:color="auto"/>
        <w:bottom w:val="none" w:sz="0" w:space="0" w:color="auto"/>
        <w:right w:val="none" w:sz="0" w:space="0" w:color="auto"/>
      </w:divBdr>
    </w:div>
    <w:div w:id="486164277">
      <w:bodyDiv w:val="1"/>
      <w:marLeft w:val="0"/>
      <w:marRight w:val="0"/>
      <w:marTop w:val="0"/>
      <w:marBottom w:val="0"/>
      <w:divBdr>
        <w:top w:val="none" w:sz="0" w:space="0" w:color="auto"/>
        <w:left w:val="none" w:sz="0" w:space="0" w:color="auto"/>
        <w:bottom w:val="none" w:sz="0" w:space="0" w:color="auto"/>
        <w:right w:val="none" w:sz="0" w:space="0" w:color="auto"/>
      </w:divBdr>
    </w:div>
    <w:div w:id="594703158">
      <w:bodyDiv w:val="1"/>
      <w:marLeft w:val="0"/>
      <w:marRight w:val="0"/>
      <w:marTop w:val="0"/>
      <w:marBottom w:val="0"/>
      <w:divBdr>
        <w:top w:val="none" w:sz="0" w:space="0" w:color="auto"/>
        <w:left w:val="none" w:sz="0" w:space="0" w:color="auto"/>
        <w:bottom w:val="none" w:sz="0" w:space="0" w:color="auto"/>
        <w:right w:val="none" w:sz="0" w:space="0" w:color="auto"/>
      </w:divBdr>
    </w:div>
    <w:div w:id="606233217">
      <w:bodyDiv w:val="1"/>
      <w:marLeft w:val="0"/>
      <w:marRight w:val="0"/>
      <w:marTop w:val="0"/>
      <w:marBottom w:val="0"/>
      <w:divBdr>
        <w:top w:val="none" w:sz="0" w:space="0" w:color="auto"/>
        <w:left w:val="none" w:sz="0" w:space="0" w:color="auto"/>
        <w:bottom w:val="none" w:sz="0" w:space="0" w:color="auto"/>
        <w:right w:val="none" w:sz="0" w:space="0" w:color="auto"/>
      </w:divBdr>
    </w:div>
    <w:div w:id="615872768">
      <w:bodyDiv w:val="1"/>
      <w:marLeft w:val="0"/>
      <w:marRight w:val="0"/>
      <w:marTop w:val="0"/>
      <w:marBottom w:val="0"/>
      <w:divBdr>
        <w:top w:val="none" w:sz="0" w:space="0" w:color="auto"/>
        <w:left w:val="none" w:sz="0" w:space="0" w:color="auto"/>
        <w:bottom w:val="none" w:sz="0" w:space="0" w:color="auto"/>
        <w:right w:val="none" w:sz="0" w:space="0" w:color="auto"/>
      </w:divBdr>
    </w:div>
    <w:div w:id="737435594">
      <w:bodyDiv w:val="1"/>
      <w:marLeft w:val="0"/>
      <w:marRight w:val="0"/>
      <w:marTop w:val="0"/>
      <w:marBottom w:val="0"/>
      <w:divBdr>
        <w:top w:val="none" w:sz="0" w:space="0" w:color="auto"/>
        <w:left w:val="none" w:sz="0" w:space="0" w:color="auto"/>
        <w:bottom w:val="none" w:sz="0" w:space="0" w:color="auto"/>
        <w:right w:val="none" w:sz="0" w:space="0" w:color="auto"/>
      </w:divBdr>
    </w:div>
    <w:div w:id="775977528">
      <w:bodyDiv w:val="1"/>
      <w:marLeft w:val="0"/>
      <w:marRight w:val="0"/>
      <w:marTop w:val="0"/>
      <w:marBottom w:val="0"/>
      <w:divBdr>
        <w:top w:val="none" w:sz="0" w:space="0" w:color="auto"/>
        <w:left w:val="none" w:sz="0" w:space="0" w:color="auto"/>
        <w:bottom w:val="none" w:sz="0" w:space="0" w:color="auto"/>
        <w:right w:val="none" w:sz="0" w:space="0" w:color="auto"/>
      </w:divBdr>
    </w:div>
    <w:div w:id="783227288">
      <w:bodyDiv w:val="1"/>
      <w:marLeft w:val="0"/>
      <w:marRight w:val="0"/>
      <w:marTop w:val="0"/>
      <w:marBottom w:val="0"/>
      <w:divBdr>
        <w:top w:val="none" w:sz="0" w:space="0" w:color="auto"/>
        <w:left w:val="none" w:sz="0" w:space="0" w:color="auto"/>
        <w:bottom w:val="none" w:sz="0" w:space="0" w:color="auto"/>
        <w:right w:val="none" w:sz="0" w:space="0" w:color="auto"/>
      </w:divBdr>
    </w:div>
    <w:div w:id="809634357">
      <w:bodyDiv w:val="1"/>
      <w:marLeft w:val="0"/>
      <w:marRight w:val="0"/>
      <w:marTop w:val="0"/>
      <w:marBottom w:val="0"/>
      <w:divBdr>
        <w:top w:val="none" w:sz="0" w:space="0" w:color="auto"/>
        <w:left w:val="none" w:sz="0" w:space="0" w:color="auto"/>
        <w:bottom w:val="none" w:sz="0" w:space="0" w:color="auto"/>
        <w:right w:val="none" w:sz="0" w:space="0" w:color="auto"/>
      </w:divBdr>
    </w:div>
    <w:div w:id="868563559">
      <w:bodyDiv w:val="1"/>
      <w:marLeft w:val="0"/>
      <w:marRight w:val="0"/>
      <w:marTop w:val="0"/>
      <w:marBottom w:val="0"/>
      <w:divBdr>
        <w:top w:val="none" w:sz="0" w:space="0" w:color="auto"/>
        <w:left w:val="none" w:sz="0" w:space="0" w:color="auto"/>
        <w:bottom w:val="none" w:sz="0" w:space="0" w:color="auto"/>
        <w:right w:val="none" w:sz="0" w:space="0" w:color="auto"/>
      </w:divBdr>
    </w:div>
    <w:div w:id="875045647">
      <w:bodyDiv w:val="1"/>
      <w:marLeft w:val="0"/>
      <w:marRight w:val="0"/>
      <w:marTop w:val="0"/>
      <w:marBottom w:val="0"/>
      <w:divBdr>
        <w:top w:val="none" w:sz="0" w:space="0" w:color="auto"/>
        <w:left w:val="none" w:sz="0" w:space="0" w:color="auto"/>
        <w:bottom w:val="none" w:sz="0" w:space="0" w:color="auto"/>
        <w:right w:val="none" w:sz="0" w:space="0" w:color="auto"/>
      </w:divBdr>
    </w:div>
    <w:div w:id="875511070">
      <w:bodyDiv w:val="1"/>
      <w:marLeft w:val="0"/>
      <w:marRight w:val="0"/>
      <w:marTop w:val="0"/>
      <w:marBottom w:val="0"/>
      <w:divBdr>
        <w:top w:val="none" w:sz="0" w:space="0" w:color="auto"/>
        <w:left w:val="none" w:sz="0" w:space="0" w:color="auto"/>
        <w:bottom w:val="none" w:sz="0" w:space="0" w:color="auto"/>
        <w:right w:val="none" w:sz="0" w:space="0" w:color="auto"/>
      </w:divBdr>
    </w:div>
    <w:div w:id="926378681">
      <w:bodyDiv w:val="1"/>
      <w:marLeft w:val="0"/>
      <w:marRight w:val="0"/>
      <w:marTop w:val="0"/>
      <w:marBottom w:val="0"/>
      <w:divBdr>
        <w:top w:val="none" w:sz="0" w:space="0" w:color="auto"/>
        <w:left w:val="none" w:sz="0" w:space="0" w:color="auto"/>
        <w:bottom w:val="none" w:sz="0" w:space="0" w:color="auto"/>
        <w:right w:val="none" w:sz="0" w:space="0" w:color="auto"/>
      </w:divBdr>
    </w:div>
    <w:div w:id="1000038720">
      <w:bodyDiv w:val="1"/>
      <w:marLeft w:val="0"/>
      <w:marRight w:val="0"/>
      <w:marTop w:val="0"/>
      <w:marBottom w:val="0"/>
      <w:divBdr>
        <w:top w:val="none" w:sz="0" w:space="0" w:color="auto"/>
        <w:left w:val="none" w:sz="0" w:space="0" w:color="auto"/>
        <w:bottom w:val="none" w:sz="0" w:space="0" w:color="auto"/>
        <w:right w:val="none" w:sz="0" w:space="0" w:color="auto"/>
      </w:divBdr>
    </w:div>
    <w:div w:id="1075084760">
      <w:bodyDiv w:val="1"/>
      <w:marLeft w:val="0"/>
      <w:marRight w:val="0"/>
      <w:marTop w:val="0"/>
      <w:marBottom w:val="0"/>
      <w:divBdr>
        <w:top w:val="none" w:sz="0" w:space="0" w:color="auto"/>
        <w:left w:val="none" w:sz="0" w:space="0" w:color="auto"/>
        <w:bottom w:val="none" w:sz="0" w:space="0" w:color="auto"/>
        <w:right w:val="none" w:sz="0" w:space="0" w:color="auto"/>
      </w:divBdr>
    </w:div>
    <w:div w:id="1124690736">
      <w:bodyDiv w:val="1"/>
      <w:marLeft w:val="0"/>
      <w:marRight w:val="0"/>
      <w:marTop w:val="0"/>
      <w:marBottom w:val="0"/>
      <w:divBdr>
        <w:top w:val="none" w:sz="0" w:space="0" w:color="auto"/>
        <w:left w:val="none" w:sz="0" w:space="0" w:color="auto"/>
        <w:bottom w:val="none" w:sz="0" w:space="0" w:color="auto"/>
        <w:right w:val="none" w:sz="0" w:space="0" w:color="auto"/>
      </w:divBdr>
    </w:div>
    <w:div w:id="1136215934">
      <w:bodyDiv w:val="1"/>
      <w:marLeft w:val="0"/>
      <w:marRight w:val="0"/>
      <w:marTop w:val="0"/>
      <w:marBottom w:val="0"/>
      <w:divBdr>
        <w:top w:val="none" w:sz="0" w:space="0" w:color="auto"/>
        <w:left w:val="none" w:sz="0" w:space="0" w:color="auto"/>
        <w:bottom w:val="none" w:sz="0" w:space="0" w:color="auto"/>
        <w:right w:val="none" w:sz="0" w:space="0" w:color="auto"/>
      </w:divBdr>
    </w:div>
    <w:div w:id="1175731912">
      <w:bodyDiv w:val="1"/>
      <w:marLeft w:val="0"/>
      <w:marRight w:val="0"/>
      <w:marTop w:val="0"/>
      <w:marBottom w:val="0"/>
      <w:divBdr>
        <w:top w:val="none" w:sz="0" w:space="0" w:color="auto"/>
        <w:left w:val="none" w:sz="0" w:space="0" w:color="auto"/>
        <w:bottom w:val="none" w:sz="0" w:space="0" w:color="auto"/>
        <w:right w:val="none" w:sz="0" w:space="0" w:color="auto"/>
      </w:divBdr>
    </w:div>
    <w:div w:id="1239094962">
      <w:bodyDiv w:val="1"/>
      <w:marLeft w:val="0"/>
      <w:marRight w:val="0"/>
      <w:marTop w:val="0"/>
      <w:marBottom w:val="0"/>
      <w:divBdr>
        <w:top w:val="none" w:sz="0" w:space="0" w:color="auto"/>
        <w:left w:val="none" w:sz="0" w:space="0" w:color="auto"/>
        <w:bottom w:val="none" w:sz="0" w:space="0" w:color="auto"/>
        <w:right w:val="none" w:sz="0" w:space="0" w:color="auto"/>
      </w:divBdr>
    </w:div>
    <w:div w:id="1261985482">
      <w:bodyDiv w:val="1"/>
      <w:marLeft w:val="0"/>
      <w:marRight w:val="0"/>
      <w:marTop w:val="0"/>
      <w:marBottom w:val="0"/>
      <w:divBdr>
        <w:top w:val="none" w:sz="0" w:space="0" w:color="auto"/>
        <w:left w:val="none" w:sz="0" w:space="0" w:color="auto"/>
        <w:bottom w:val="none" w:sz="0" w:space="0" w:color="auto"/>
        <w:right w:val="none" w:sz="0" w:space="0" w:color="auto"/>
      </w:divBdr>
    </w:div>
    <w:div w:id="1273199512">
      <w:bodyDiv w:val="1"/>
      <w:marLeft w:val="0"/>
      <w:marRight w:val="0"/>
      <w:marTop w:val="0"/>
      <w:marBottom w:val="0"/>
      <w:divBdr>
        <w:top w:val="none" w:sz="0" w:space="0" w:color="auto"/>
        <w:left w:val="none" w:sz="0" w:space="0" w:color="auto"/>
        <w:bottom w:val="none" w:sz="0" w:space="0" w:color="auto"/>
        <w:right w:val="none" w:sz="0" w:space="0" w:color="auto"/>
      </w:divBdr>
    </w:div>
    <w:div w:id="1309744354">
      <w:bodyDiv w:val="1"/>
      <w:marLeft w:val="0"/>
      <w:marRight w:val="0"/>
      <w:marTop w:val="0"/>
      <w:marBottom w:val="0"/>
      <w:divBdr>
        <w:top w:val="none" w:sz="0" w:space="0" w:color="auto"/>
        <w:left w:val="none" w:sz="0" w:space="0" w:color="auto"/>
        <w:bottom w:val="none" w:sz="0" w:space="0" w:color="auto"/>
        <w:right w:val="none" w:sz="0" w:space="0" w:color="auto"/>
      </w:divBdr>
    </w:div>
    <w:div w:id="1310132558">
      <w:bodyDiv w:val="1"/>
      <w:marLeft w:val="0"/>
      <w:marRight w:val="0"/>
      <w:marTop w:val="0"/>
      <w:marBottom w:val="0"/>
      <w:divBdr>
        <w:top w:val="none" w:sz="0" w:space="0" w:color="auto"/>
        <w:left w:val="none" w:sz="0" w:space="0" w:color="auto"/>
        <w:bottom w:val="none" w:sz="0" w:space="0" w:color="auto"/>
        <w:right w:val="none" w:sz="0" w:space="0" w:color="auto"/>
      </w:divBdr>
    </w:div>
    <w:div w:id="1410466489">
      <w:bodyDiv w:val="1"/>
      <w:marLeft w:val="0"/>
      <w:marRight w:val="0"/>
      <w:marTop w:val="0"/>
      <w:marBottom w:val="0"/>
      <w:divBdr>
        <w:top w:val="none" w:sz="0" w:space="0" w:color="auto"/>
        <w:left w:val="none" w:sz="0" w:space="0" w:color="auto"/>
        <w:bottom w:val="none" w:sz="0" w:space="0" w:color="auto"/>
        <w:right w:val="none" w:sz="0" w:space="0" w:color="auto"/>
      </w:divBdr>
    </w:div>
    <w:div w:id="1440949266">
      <w:bodyDiv w:val="1"/>
      <w:marLeft w:val="0"/>
      <w:marRight w:val="0"/>
      <w:marTop w:val="0"/>
      <w:marBottom w:val="0"/>
      <w:divBdr>
        <w:top w:val="none" w:sz="0" w:space="0" w:color="auto"/>
        <w:left w:val="none" w:sz="0" w:space="0" w:color="auto"/>
        <w:bottom w:val="none" w:sz="0" w:space="0" w:color="auto"/>
        <w:right w:val="none" w:sz="0" w:space="0" w:color="auto"/>
      </w:divBdr>
    </w:div>
    <w:div w:id="1466921842">
      <w:bodyDiv w:val="1"/>
      <w:marLeft w:val="0"/>
      <w:marRight w:val="0"/>
      <w:marTop w:val="0"/>
      <w:marBottom w:val="0"/>
      <w:divBdr>
        <w:top w:val="none" w:sz="0" w:space="0" w:color="auto"/>
        <w:left w:val="none" w:sz="0" w:space="0" w:color="auto"/>
        <w:bottom w:val="none" w:sz="0" w:space="0" w:color="auto"/>
        <w:right w:val="none" w:sz="0" w:space="0" w:color="auto"/>
      </w:divBdr>
    </w:div>
    <w:div w:id="1492871718">
      <w:bodyDiv w:val="1"/>
      <w:marLeft w:val="0"/>
      <w:marRight w:val="0"/>
      <w:marTop w:val="0"/>
      <w:marBottom w:val="0"/>
      <w:divBdr>
        <w:top w:val="none" w:sz="0" w:space="0" w:color="auto"/>
        <w:left w:val="none" w:sz="0" w:space="0" w:color="auto"/>
        <w:bottom w:val="none" w:sz="0" w:space="0" w:color="auto"/>
        <w:right w:val="none" w:sz="0" w:space="0" w:color="auto"/>
      </w:divBdr>
    </w:div>
    <w:div w:id="1637446095">
      <w:bodyDiv w:val="1"/>
      <w:marLeft w:val="0"/>
      <w:marRight w:val="0"/>
      <w:marTop w:val="0"/>
      <w:marBottom w:val="0"/>
      <w:divBdr>
        <w:top w:val="none" w:sz="0" w:space="0" w:color="auto"/>
        <w:left w:val="none" w:sz="0" w:space="0" w:color="auto"/>
        <w:bottom w:val="none" w:sz="0" w:space="0" w:color="auto"/>
        <w:right w:val="none" w:sz="0" w:space="0" w:color="auto"/>
      </w:divBdr>
    </w:div>
    <w:div w:id="1640957893">
      <w:bodyDiv w:val="1"/>
      <w:marLeft w:val="0"/>
      <w:marRight w:val="0"/>
      <w:marTop w:val="0"/>
      <w:marBottom w:val="0"/>
      <w:divBdr>
        <w:top w:val="none" w:sz="0" w:space="0" w:color="auto"/>
        <w:left w:val="none" w:sz="0" w:space="0" w:color="auto"/>
        <w:bottom w:val="none" w:sz="0" w:space="0" w:color="auto"/>
        <w:right w:val="none" w:sz="0" w:space="0" w:color="auto"/>
      </w:divBdr>
    </w:div>
    <w:div w:id="1648587387">
      <w:bodyDiv w:val="1"/>
      <w:marLeft w:val="0"/>
      <w:marRight w:val="0"/>
      <w:marTop w:val="0"/>
      <w:marBottom w:val="0"/>
      <w:divBdr>
        <w:top w:val="none" w:sz="0" w:space="0" w:color="auto"/>
        <w:left w:val="none" w:sz="0" w:space="0" w:color="auto"/>
        <w:bottom w:val="none" w:sz="0" w:space="0" w:color="auto"/>
        <w:right w:val="none" w:sz="0" w:space="0" w:color="auto"/>
      </w:divBdr>
    </w:div>
    <w:div w:id="1701318541">
      <w:bodyDiv w:val="1"/>
      <w:marLeft w:val="0"/>
      <w:marRight w:val="0"/>
      <w:marTop w:val="0"/>
      <w:marBottom w:val="0"/>
      <w:divBdr>
        <w:top w:val="none" w:sz="0" w:space="0" w:color="auto"/>
        <w:left w:val="none" w:sz="0" w:space="0" w:color="auto"/>
        <w:bottom w:val="none" w:sz="0" w:space="0" w:color="auto"/>
        <w:right w:val="none" w:sz="0" w:space="0" w:color="auto"/>
      </w:divBdr>
    </w:div>
    <w:div w:id="1749114586">
      <w:bodyDiv w:val="1"/>
      <w:marLeft w:val="0"/>
      <w:marRight w:val="0"/>
      <w:marTop w:val="0"/>
      <w:marBottom w:val="0"/>
      <w:divBdr>
        <w:top w:val="none" w:sz="0" w:space="0" w:color="auto"/>
        <w:left w:val="none" w:sz="0" w:space="0" w:color="auto"/>
        <w:bottom w:val="none" w:sz="0" w:space="0" w:color="auto"/>
        <w:right w:val="none" w:sz="0" w:space="0" w:color="auto"/>
      </w:divBdr>
    </w:div>
    <w:div w:id="1799180396">
      <w:bodyDiv w:val="1"/>
      <w:marLeft w:val="0"/>
      <w:marRight w:val="0"/>
      <w:marTop w:val="0"/>
      <w:marBottom w:val="0"/>
      <w:divBdr>
        <w:top w:val="none" w:sz="0" w:space="0" w:color="auto"/>
        <w:left w:val="none" w:sz="0" w:space="0" w:color="auto"/>
        <w:bottom w:val="none" w:sz="0" w:space="0" w:color="auto"/>
        <w:right w:val="none" w:sz="0" w:space="0" w:color="auto"/>
      </w:divBdr>
    </w:div>
    <w:div w:id="1801727374">
      <w:bodyDiv w:val="1"/>
      <w:marLeft w:val="0"/>
      <w:marRight w:val="0"/>
      <w:marTop w:val="0"/>
      <w:marBottom w:val="0"/>
      <w:divBdr>
        <w:top w:val="none" w:sz="0" w:space="0" w:color="auto"/>
        <w:left w:val="none" w:sz="0" w:space="0" w:color="auto"/>
        <w:bottom w:val="none" w:sz="0" w:space="0" w:color="auto"/>
        <w:right w:val="none" w:sz="0" w:space="0" w:color="auto"/>
      </w:divBdr>
    </w:div>
    <w:div w:id="1835291701">
      <w:bodyDiv w:val="1"/>
      <w:marLeft w:val="0"/>
      <w:marRight w:val="0"/>
      <w:marTop w:val="0"/>
      <w:marBottom w:val="0"/>
      <w:divBdr>
        <w:top w:val="none" w:sz="0" w:space="0" w:color="auto"/>
        <w:left w:val="none" w:sz="0" w:space="0" w:color="auto"/>
        <w:bottom w:val="none" w:sz="0" w:space="0" w:color="auto"/>
        <w:right w:val="none" w:sz="0" w:space="0" w:color="auto"/>
      </w:divBdr>
    </w:div>
    <w:div w:id="1898860857">
      <w:bodyDiv w:val="1"/>
      <w:marLeft w:val="0"/>
      <w:marRight w:val="0"/>
      <w:marTop w:val="0"/>
      <w:marBottom w:val="0"/>
      <w:divBdr>
        <w:top w:val="none" w:sz="0" w:space="0" w:color="auto"/>
        <w:left w:val="none" w:sz="0" w:space="0" w:color="auto"/>
        <w:bottom w:val="none" w:sz="0" w:space="0" w:color="auto"/>
        <w:right w:val="none" w:sz="0" w:space="0" w:color="auto"/>
      </w:divBdr>
    </w:div>
    <w:div w:id="2002195398">
      <w:bodyDiv w:val="1"/>
      <w:marLeft w:val="0"/>
      <w:marRight w:val="0"/>
      <w:marTop w:val="0"/>
      <w:marBottom w:val="0"/>
      <w:divBdr>
        <w:top w:val="none" w:sz="0" w:space="0" w:color="auto"/>
        <w:left w:val="none" w:sz="0" w:space="0" w:color="auto"/>
        <w:bottom w:val="none" w:sz="0" w:space="0" w:color="auto"/>
        <w:right w:val="none" w:sz="0" w:space="0" w:color="auto"/>
      </w:divBdr>
    </w:div>
    <w:div w:id="2090735228">
      <w:bodyDiv w:val="1"/>
      <w:marLeft w:val="0"/>
      <w:marRight w:val="0"/>
      <w:marTop w:val="0"/>
      <w:marBottom w:val="0"/>
      <w:divBdr>
        <w:top w:val="none" w:sz="0" w:space="0" w:color="auto"/>
        <w:left w:val="none" w:sz="0" w:space="0" w:color="auto"/>
        <w:bottom w:val="none" w:sz="0" w:space="0" w:color="auto"/>
        <w:right w:val="none" w:sz="0" w:space="0" w:color="auto"/>
      </w:divBdr>
    </w:div>
    <w:div w:id="2093160175">
      <w:bodyDiv w:val="1"/>
      <w:marLeft w:val="0"/>
      <w:marRight w:val="0"/>
      <w:marTop w:val="0"/>
      <w:marBottom w:val="0"/>
      <w:divBdr>
        <w:top w:val="none" w:sz="0" w:space="0" w:color="auto"/>
        <w:left w:val="none" w:sz="0" w:space="0" w:color="auto"/>
        <w:bottom w:val="none" w:sz="0" w:space="0" w:color="auto"/>
        <w:right w:val="none" w:sz="0" w:space="0" w:color="auto"/>
      </w:divBdr>
    </w:div>
    <w:div w:id="2128965372">
      <w:bodyDiv w:val="1"/>
      <w:marLeft w:val="0"/>
      <w:marRight w:val="0"/>
      <w:marTop w:val="0"/>
      <w:marBottom w:val="0"/>
      <w:divBdr>
        <w:top w:val="none" w:sz="0" w:space="0" w:color="auto"/>
        <w:left w:val="none" w:sz="0" w:space="0" w:color="auto"/>
        <w:bottom w:val="none" w:sz="0" w:space="0" w:color="auto"/>
        <w:right w:val="none" w:sz="0" w:space="0" w:color="auto"/>
      </w:divBdr>
    </w:div>
    <w:div w:id="2143813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F9F1F6-3714-4C68-B24C-68DDBEA7F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21</Pages>
  <Words>2497</Words>
  <Characters>14237</Characters>
  <Application>Microsoft Office Word</Application>
  <DocSecurity>0</DocSecurity>
  <Lines>118</Lines>
  <Paragraphs>33</Paragraphs>
  <ScaleCrop>false</ScaleCrop>
  <Company>Hewlett-Packard Company</Company>
  <LinksUpToDate>false</LinksUpToDate>
  <CharactersWithSpaces>16701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shibin yang</cp:lastModifiedBy>
  <cp:revision>129</cp:revision>
  <cp:lastPrinted>2018-06-03T16:11:00Z</cp:lastPrinted>
  <dcterms:created xsi:type="dcterms:W3CDTF">2018-02-26T02:45:00Z</dcterms:created>
  <dcterms:modified xsi:type="dcterms:W3CDTF">2018-06-03T16:12:00Z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