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4"/>
        </w:rPr>
      </w:pP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4"/>
        </w:rPr>
      </w:pPr>
    </w:p>
    <w:p>
      <w:pPr>
        <w:spacing w:beforeLines="0" w:afterLines="0"/>
        <w:jc w:val="center"/>
        <w:rPr>
          <w:rFonts w:hint="eastAsia" w:ascii="宋体" w:hAnsi="宋体" w:eastAsia="宋体"/>
          <w:color w:val="000000"/>
          <w:sz w:val="32"/>
        </w:rPr>
      </w:pPr>
      <w:r>
        <w:rPr>
          <w:rFonts w:hint="eastAsia" w:ascii="宋体" w:hAnsi="宋体" w:eastAsia="宋体"/>
          <w:color w:val="000000"/>
          <w:sz w:val="32"/>
        </w:rPr>
        <w:t>反洗钱小案例</w:t>
      </w:r>
      <w:r>
        <w:rPr>
          <w:rFonts w:hint="default" w:ascii="宋体" w:hAnsi="宋体" w:eastAsia="宋体"/>
          <w:color w:val="000000"/>
          <w:sz w:val="32"/>
        </w:rPr>
        <w:t>—</w:t>
      </w:r>
      <w:r>
        <w:rPr>
          <w:rFonts w:hint="eastAsia" w:ascii="宋体" w:hAnsi="宋体" w:eastAsia="宋体"/>
          <w:color w:val="000000"/>
          <w:sz w:val="32"/>
        </w:rPr>
        <w:t>虚拟货币传销洗钱</w:t>
      </w:r>
      <w:bookmarkStart w:id="0" w:name="_GoBack"/>
      <w:bookmarkEnd w:id="0"/>
    </w:p>
    <w:p>
      <w:pPr>
        <w:spacing w:beforeLines="0" w:afterLines="0"/>
        <w:jc w:val="center"/>
        <w:rPr>
          <w:rFonts w:hint="eastAsia" w:ascii="宋体" w:hAnsi="宋体" w:eastAsia="宋体"/>
          <w:color w:val="000000"/>
          <w:sz w:val="32"/>
        </w:rPr>
      </w:pPr>
      <w:r>
        <w:drawing>
          <wp:inline distT="0" distB="0" distL="114300" distR="114300">
            <wp:extent cx="1949450" cy="19367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3"/>
        </w:rPr>
      </w:pPr>
      <w:r>
        <w:rPr>
          <w:rFonts w:hint="eastAsia" w:ascii="Arial" w:hAnsi="Arial" w:eastAsia="宋体"/>
          <w:color w:val="000000"/>
          <w:sz w:val="23"/>
          <w:lang w:val="en-US" w:eastAsia="zh-CN"/>
        </w:rPr>
        <w:t>1、</w:t>
      </w:r>
      <w:r>
        <w:rPr>
          <w:rFonts w:hint="eastAsia" w:ascii="Arial" w:hAnsi="Arial" w:eastAsia="宋体"/>
          <w:color w:val="000000"/>
          <w:sz w:val="23"/>
        </w:rPr>
        <w:t>2016</w:t>
      </w:r>
      <w:r>
        <w:rPr>
          <w:rFonts w:hint="eastAsia" w:ascii="宋体" w:hAnsi="宋体" w:eastAsia="宋体"/>
          <w:color w:val="000000"/>
          <w:sz w:val="23"/>
        </w:rPr>
        <w:t>年张某在境外注册</w:t>
      </w:r>
      <w:r>
        <w:rPr>
          <w:rFonts w:hint="default" w:ascii="Arial" w:hAnsi="Arial" w:eastAsia="宋体"/>
          <w:color w:val="000000"/>
          <w:sz w:val="23"/>
        </w:rPr>
        <w:t>“</w:t>
      </w:r>
      <w:r>
        <w:rPr>
          <w:rFonts w:hint="eastAsia" w:ascii="宋体" w:hAnsi="宋体" w:eastAsia="宋体"/>
          <w:color w:val="000000"/>
          <w:sz w:val="23"/>
        </w:rPr>
        <w:t>恒星（国际）控股公司</w:t>
      </w:r>
      <w:r>
        <w:rPr>
          <w:rFonts w:hint="default" w:ascii="Arial" w:hAnsi="Arial" w:eastAsia="宋体"/>
          <w:color w:val="000000"/>
          <w:sz w:val="23"/>
        </w:rPr>
        <w:t>”</w:t>
      </w:r>
      <w:r>
        <w:rPr>
          <w:rFonts w:hint="eastAsia" w:ascii="宋体" w:hAnsi="宋体" w:eastAsia="宋体"/>
          <w:color w:val="000000"/>
          <w:sz w:val="23"/>
        </w:rPr>
        <w:t>，通过微信营销，诱骗公众在</w:t>
      </w:r>
      <w:r>
        <w:rPr>
          <w:rFonts w:hint="default" w:ascii="Arial" w:hAnsi="Arial" w:eastAsia="宋体"/>
          <w:color w:val="000000"/>
          <w:sz w:val="23"/>
        </w:rPr>
        <w:t>“</w:t>
      </w:r>
      <w:r>
        <w:rPr>
          <w:rFonts w:hint="eastAsia" w:ascii="宋体" w:hAnsi="宋体" w:eastAsia="宋体"/>
          <w:color w:val="000000"/>
          <w:sz w:val="23"/>
        </w:rPr>
        <w:t>恒星币（中国）交易中心</w:t>
      </w:r>
      <w:r>
        <w:rPr>
          <w:rFonts w:hint="default" w:ascii="Arial" w:hAnsi="Arial" w:eastAsia="宋体"/>
          <w:color w:val="000000"/>
          <w:sz w:val="23"/>
        </w:rPr>
        <w:t>”</w:t>
      </w:r>
      <w:r>
        <w:rPr>
          <w:rFonts w:hint="eastAsia" w:ascii="宋体" w:hAnsi="宋体" w:eastAsia="宋体"/>
          <w:color w:val="000000"/>
          <w:sz w:val="23"/>
        </w:rPr>
        <w:t>投资，购买</w:t>
      </w:r>
      <w:r>
        <w:rPr>
          <w:rFonts w:hint="default" w:ascii="Arial" w:hAnsi="Arial" w:eastAsia="宋体"/>
          <w:color w:val="000000"/>
          <w:sz w:val="23"/>
        </w:rPr>
        <w:t>“</w:t>
      </w:r>
      <w:r>
        <w:rPr>
          <w:rFonts w:hint="eastAsia" w:ascii="宋体" w:hAnsi="宋体" w:eastAsia="宋体"/>
          <w:color w:val="000000"/>
          <w:sz w:val="23"/>
        </w:rPr>
        <w:t>恒星币</w:t>
      </w:r>
      <w:r>
        <w:rPr>
          <w:rFonts w:hint="default" w:ascii="Arial" w:hAnsi="Arial" w:eastAsia="宋体"/>
          <w:color w:val="000000"/>
          <w:sz w:val="23"/>
        </w:rPr>
        <w:t>”</w:t>
      </w:r>
      <w:r>
        <w:rPr>
          <w:rFonts w:hint="eastAsia" w:ascii="宋体" w:hAnsi="宋体" w:eastAsia="宋体"/>
          <w:color w:val="000000"/>
          <w:sz w:val="23"/>
        </w:rPr>
        <w:t>和生产</w:t>
      </w:r>
      <w:r>
        <w:rPr>
          <w:rFonts w:hint="default" w:ascii="Arial" w:hAnsi="Arial" w:eastAsia="宋体"/>
          <w:color w:val="000000"/>
          <w:sz w:val="23"/>
        </w:rPr>
        <w:t>“</w:t>
      </w:r>
      <w:r>
        <w:rPr>
          <w:rFonts w:hint="eastAsia" w:ascii="宋体" w:hAnsi="宋体" w:eastAsia="宋体"/>
          <w:color w:val="000000"/>
          <w:sz w:val="23"/>
        </w:rPr>
        <w:t>恒星币</w:t>
      </w:r>
      <w:r>
        <w:rPr>
          <w:rFonts w:hint="default" w:ascii="Arial" w:hAnsi="Arial" w:eastAsia="宋体"/>
          <w:color w:val="000000"/>
          <w:sz w:val="23"/>
        </w:rPr>
        <w:t>”</w:t>
      </w:r>
      <w:r>
        <w:rPr>
          <w:rFonts w:hint="eastAsia" w:ascii="宋体" w:hAnsi="宋体" w:eastAsia="宋体"/>
          <w:color w:val="000000"/>
          <w:sz w:val="23"/>
        </w:rPr>
        <w:t>的</w:t>
      </w:r>
      <w:r>
        <w:rPr>
          <w:rFonts w:hint="default" w:ascii="Arial" w:hAnsi="Arial" w:eastAsia="宋体"/>
          <w:color w:val="000000"/>
          <w:sz w:val="23"/>
        </w:rPr>
        <w:t>“</w:t>
      </w:r>
      <w:r>
        <w:rPr>
          <w:rFonts w:hint="eastAsia" w:ascii="宋体" w:hAnsi="宋体" w:eastAsia="宋体"/>
          <w:color w:val="000000"/>
          <w:sz w:val="23"/>
        </w:rPr>
        <w:t>矿机</w:t>
      </w:r>
      <w:r>
        <w:rPr>
          <w:rFonts w:hint="default" w:ascii="Arial" w:hAnsi="Arial" w:eastAsia="宋体"/>
          <w:color w:val="000000"/>
          <w:sz w:val="23"/>
        </w:rPr>
        <w:t>”</w:t>
      </w:r>
      <w:r>
        <w:rPr>
          <w:rFonts w:hint="eastAsia" w:ascii="宋体" w:hAnsi="宋体" w:eastAsia="宋体"/>
          <w:color w:val="000000"/>
          <w:sz w:val="23"/>
        </w:rPr>
        <w:t>。</w:t>
      </w:r>
    </w:p>
    <w:p>
      <w:pPr>
        <w:spacing w:beforeLines="0" w:afterLines="0"/>
        <w:jc w:val="center"/>
        <w:rPr>
          <w:rFonts w:hint="eastAsia" w:ascii="宋体" w:hAnsi="宋体" w:eastAsia="宋体"/>
          <w:color w:val="000000"/>
          <w:sz w:val="23"/>
        </w:rPr>
      </w:pPr>
      <w:r>
        <w:drawing>
          <wp:inline distT="0" distB="0" distL="114300" distR="114300">
            <wp:extent cx="2051050" cy="17907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Lines="0" w:afterLines="0"/>
        <w:jc w:val="left"/>
        <w:rPr>
          <w:rFonts w:hint="eastAsia" w:ascii="宋体" w:hAnsi="宋体" w:eastAsia="宋体"/>
          <w:color w:val="000000"/>
          <w:sz w:val="23"/>
        </w:rPr>
      </w:pPr>
      <w:r>
        <w:rPr>
          <w:rFonts w:hint="eastAsia" w:ascii="宋体" w:hAnsi="宋体" w:eastAsia="宋体"/>
          <w:color w:val="000000"/>
          <w:sz w:val="23"/>
        </w:rPr>
        <w:t xml:space="preserve">该团伙打着区块链技术、数字货币等名目，在参与初期给予投资者一定返利，采取拉下线、收取入门费、层层提成等方式骗取资金，根据账号级别将下线投资额的一部分作为提成。 </w:t>
      </w:r>
    </w:p>
    <w:p>
      <w:pPr>
        <w:numPr>
          <w:numId w:val="0"/>
        </w:numPr>
        <w:spacing w:beforeLines="0" w:afterLines="0"/>
        <w:jc w:val="center"/>
        <w:rPr>
          <w:rFonts w:hint="eastAsia" w:ascii="宋体" w:hAnsi="宋体" w:eastAsia="宋体"/>
          <w:color w:val="000000"/>
          <w:sz w:val="23"/>
        </w:rPr>
      </w:pPr>
      <w:r>
        <w:drawing>
          <wp:inline distT="0" distB="0" distL="114300" distR="114300">
            <wp:extent cx="2070100" cy="1676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Lines="0" w:afterLines="0"/>
        <w:ind w:left="0" w:leftChars="0" w:firstLine="0" w:firstLineChars="0"/>
        <w:jc w:val="left"/>
        <w:rPr>
          <w:rFonts w:hint="eastAsia" w:ascii="宋体" w:hAnsi="宋体" w:eastAsia="宋体"/>
          <w:color w:val="000000"/>
          <w:sz w:val="23"/>
        </w:rPr>
      </w:pPr>
      <w:r>
        <w:rPr>
          <w:rFonts w:hint="eastAsia" w:ascii="宋体" w:hAnsi="宋体" w:eastAsia="宋体"/>
          <w:color w:val="000000"/>
          <w:sz w:val="23"/>
        </w:rPr>
        <w:t xml:space="preserve">资金往来多采用网上银行、手机银行等方式，转账迅速，资金流量大。诈骗资金被迅速用于购买房产、车辆等。 </w:t>
      </w:r>
    </w:p>
    <w:p>
      <w:pPr>
        <w:numPr>
          <w:numId w:val="0"/>
        </w:numPr>
        <w:spacing w:beforeLines="0" w:afterLines="0"/>
        <w:ind w:leftChars="0"/>
        <w:jc w:val="center"/>
        <w:rPr>
          <w:rFonts w:hint="eastAsia" w:ascii="宋体" w:hAnsi="宋体" w:eastAsia="宋体"/>
          <w:color w:val="000000"/>
          <w:sz w:val="23"/>
        </w:rPr>
      </w:pPr>
      <w:r>
        <w:drawing>
          <wp:inline distT="0" distB="0" distL="114300" distR="114300">
            <wp:extent cx="2076450" cy="1657350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/>
        <w:numPr>
          <w:ilvl w:val="0"/>
          <w:numId w:val="1"/>
        </w:numPr>
        <w:spacing w:beforeLines="0" w:afterLines="0"/>
        <w:ind w:left="0" w:leftChars="0" w:firstLine="0" w:firstLineChars="0"/>
        <w:jc w:val="left"/>
        <w:rPr>
          <w:rFonts w:hint="eastAsia" w:ascii="宋体" w:hAnsi="宋体" w:eastAsia="宋体"/>
          <w:color w:val="000000"/>
          <w:sz w:val="23"/>
        </w:rPr>
      </w:pPr>
      <w:r>
        <w:rPr>
          <w:rFonts w:hint="eastAsia" w:ascii="宋体" w:hAnsi="宋体" w:eastAsia="宋体"/>
          <w:color w:val="000000"/>
          <w:sz w:val="23"/>
        </w:rPr>
        <w:t>此案涉及受骗人员约</w:t>
      </w:r>
      <w:r>
        <w:rPr>
          <w:rFonts w:hint="eastAsia" w:ascii="Arial" w:hAnsi="Arial" w:eastAsia="宋体"/>
          <w:color w:val="000000"/>
          <w:sz w:val="23"/>
        </w:rPr>
        <w:t>16</w:t>
      </w:r>
      <w:r>
        <w:rPr>
          <w:rFonts w:hint="eastAsia" w:ascii="宋体" w:hAnsi="宋体" w:eastAsia="宋体"/>
          <w:color w:val="000000"/>
          <w:sz w:val="23"/>
        </w:rPr>
        <w:t>万名，金额高达</w:t>
      </w:r>
      <w:r>
        <w:rPr>
          <w:rFonts w:hint="eastAsia" w:ascii="Arial" w:hAnsi="Arial" w:eastAsia="宋体"/>
          <w:color w:val="000000"/>
          <w:sz w:val="23"/>
        </w:rPr>
        <w:t>2</w:t>
      </w:r>
      <w:r>
        <w:rPr>
          <w:rFonts w:hint="eastAsia" w:ascii="宋体" w:hAnsi="宋体" w:eastAsia="宋体"/>
          <w:color w:val="000000"/>
          <w:sz w:val="23"/>
        </w:rPr>
        <w:t>亿多元人民币，共抓获犯罪嫌疑人</w:t>
      </w:r>
      <w:r>
        <w:rPr>
          <w:rFonts w:hint="eastAsia" w:ascii="Arial" w:hAnsi="Arial" w:eastAsia="宋体"/>
          <w:color w:val="000000"/>
          <w:sz w:val="23"/>
        </w:rPr>
        <w:t>110</w:t>
      </w:r>
      <w:r>
        <w:rPr>
          <w:rFonts w:hint="eastAsia" w:ascii="宋体" w:hAnsi="宋体" w:eastAsia="宋体"/>
          <w:color w:val="000000"/>
          <w:sz w:val="23"/>
        </w:rPr>
        <w:t>名，捣毁窝点</w:t>
      </w:r>
      <w:r>
        <w:rPr>
          <w:rFonts w:hint="eastAsia" w:ascii="Arial" w:hAnsi="Arial" w:eastAsia="宋体"/>
          <w:color w:val="000000"/>
          <w:sz w:val="23"/>
        </w:rPr>
        <w:t>30</w:t>
      </w:r>
      <w:r>
        <w:rPr>
          <w:rFonts w:hint="eastAsia" w:ascii="宋体" w:hAnsi="宋体" w:eastAsia="宋体"/>
          <w:color w:val="000000"/>
          <w:sz w:val="23"/>
        </w:rPr>
        <w:t>个，冻结账户</w:t>
      </w:r>
      <w:r>
        <w:rPr>
          <w:rFonts w:hint="eastAsia" w:ascii="Arial" w:hAnsi="Arial" w:eastAsia="宋体"/>
          <w:color w:val="000000"/>
          <w:sz w:val="23"/>
        </w:rPr>
        <w:t>120</w:t>
      </w:r>
      <w:r>
        <w:rPr>
          <w:rFonts w:hint="eastAsia" w:ascii="宋体" w:hAnsi="宋体" w:eastAsia="宋体"/>
          <w:color w:val="000000"/>
          <w:sz w:val="23"/>
        </w:rPr>
        <w:t xml:space="preserve">个，查封、查扣了大量房产、车辆、电脑、手机及银行卡等涉案物品与关键证据。 </w:t>
      </w:r>
    </w:p>
    <w:p>
      <w:pPr>
        <w:pageBreakBefore/>
        <w:numPr>
          <w:numId w:val="0"/>
        </w:numPr>
        <w:spacing w:beforeLines="0" w:afterLines="0"/>
        <w:ind w:leftChars="0"/>
        <w:jc w:val="left"/>
        <w:rPr>
          <w:rFonts w:hint="eastAsia" w:ascii="宋体" w:hAnsi="宋体" w:eastAsia="宋体"/>
          <w:color w:val="000000"/>
          <w:sz w:val="23"/>
          <w:lang w:eastAsia="zh-CN"/>
        </w:rPr>
      </w:pPr>
    </w:p>
    <w:p>
      <w:pPr>
        <w:rPr>
          <w:rFonts w:hint="eastAsia"/>
        </w:rPr>
      </w:pPr>
      <w:r>
        <w:rPr>
          <w:rFonts w:hint="eastAsia" w:ascii="宋体" w:hAnsi="宋体" w:eastAsia="宋体"/>
          <w:color w:val="000000"/>
          <w:sz w:val="21"/>
        </w:rPr>
        <w:t>来源：中国金融出版社《完善制度体系依法打击洗钱犯罪》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D219CD"/>
    <w:multiLevelType w:val="singleLevel"/>
    <w:tmpl w:val="F8D219C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A571F"/>
    <w:rsid w:val="00854434"/>
    <w:rsid w:val="273974DE"/>
    <w:rsid w:val="3C3D17A4"/>
    <w:rsid w:val="71B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批注框文本 字符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标题 2 字符"/>
    <w:basedOn w:val="5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204</Characters>
  <Lines>1</Lines>
  <Paragraphs>1</Paragraphs>
  <TotalTime>12</TotalTime>
  <ScaleCrop>false</ScaleCrop>
  <LinksUpToDate>false</LinksUpToDate>
  <CharactersWithSpaces>238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2019-04-10T07:46:00Z</dcterms:created>
  <dc:creator>an</dc:creator>
  <cp:lastModifiedBy>lawye</cp:lastModifiedBy>
  <dcterms:modified xsi:type="dcterms:W3CDTF">2020-12-25T08:11:21Z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