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156" w:beforeLines="50" w:line="360" w:lineRule="auto"/>
        <w:jc w:val="center"/>
        <w:rPr>
          <w:rFonts w:hint="eastAsia" w:ascii="华文楷体" w:hAnsi="华文楷体" w:eastAsia="华文楷体" w:cs="华文楷体"/>
          <w:b/>
          <w:color w:val="000000"/>
          <w:sz w:val="36"/>
          <w:szCs w:val="36"/>
        </w:rPr>
      </w:pPr>
    </w:p>
    <w:p>
      <w:pPr>
        <w:spacing w:before="156" w:beforeLines="50" w:line="360" w:lineRule="auto"/>
        <w:jc w:val="center"/>
        <w:rPr>
          <w:rFonts w:hint="eastAsia" w:ascii="华文楷体" w:hAnsi="华文楷体" w:eastAsia="华文楷体" w:cs="华文楷体"/>
          <w:b/>
          <w:color w:val="000000"/>
          <w:sz w:val="36"/>
          <w:szCs w:val="36"/>
        </w:rPr>
      </w:pPr>
      <w:r>
        <w:rPr>
          <w:rFonts w:hint="eastAsia" w:ascii="华文楷体" w:hAnsi="华文楷体" w:eastAsia="华文楷体" w:cs="华文楷体"/>
          <w:b/>
          <w:color w:val="000000"/>
          <w:sz w:val="36"/>
          <w:szCs w:val="36"/>
        </w:rPr>
        <w:t>长江财富-</w:t>
      </w:r>
      <w:r>
        <w:rPr>
          <w:rFonts w:hint="eastAsia" w:ascii="华文楷体" w:hAnsi="华文楷体" w:eastAsia="华文楷体" w:cs="华文楷体"/>
          <w:b/>
          <w:color w:val="000000"/>
          <w:sz w:val="36"/>
          <w:szCs w:val="36"/>
          <w:lang w:eastAsia="zh-CN"/>
        </w:rPr>
        <w:t>华夏幸福</w:t>
      </w:r>
      <w:r>
        <w:rPr>
          <w:rFonts w:hint="eastAsia" w:ascii="华文楷体" w:hAnsi="华文楷体" w:eastAsia="华文楷体" w:cs="华文楷体"/>
          <w:b/>
          <w:color w:val="000000"/>
          <w:sz w:val="36"/>
          <w:szCs w:val="36"/>
          <w:lang w:val="en-US" w:eastAsia="zh-CN"/>
        </w:rPr>
        <w:t>5</w:t>
      </w:r>
      <w:r>
        <w:rPr>
          <w:rFonts w:hint="eastAsia" w:ascii="华文楷体" w:hAnsi="华文楷体" w:eastAsia="华文楷体" w:cs="华文楷体"/>
          <w:b/>
          <w:color w:val="000000"/>
          <w:sz w:val="36"/>
          <w:szCs w:val="36"/>
        </w:rPr>
        <w:t>号专项资产管理计划</w:t>
      </w:r>
    </w:p>
    <w:p>
      <w:pPr>
        <w:jc w:val="center"/>
        <w:rPr>
          <w:rFonts w:hint="eastAsia" w:ascii="华文楷体" w:hAnsi="华文楷体" w:eastAsia="华文楷体" w:cs="华文楷体"/>
          <w:b/>
          <w:sz w:val="36"/>
          <w:szCs w:val="36"/>
        </w:rPr>
      </w:pPr>
      <w:r>
        <w:rPr>
          <w:rFonts w:hint="eastAsia" w:ascii="华文楷体" w:hAnsi="华文楷体" w:eastAsia="华文楷体" w:cs="华文楷体"/>
          <w:b/>
          <w:sz w:val="36"/>
          <w:szCs w:val="36"/>
        </w:rPr>
        <w:t>财产清算报告</w:t>
      </w:r>
    </w:p>
    <w:p>
      <w:pPr>
        <w:jc w:val="center"/>
        <w:rPr>
          <w:b/>
          <w:sz w:val="48"/>
          <w:szCs w:val="48"/>
        </w:rPr>
      </w:pPr>
    </w:p>
    <w:p>
      <w:pPr>
        <w:spacing w:line="360" w:lineRule="auto"/>
        <w:ind w:firstLine="480" w:firstLineChars="200"/>
        <w:rPr>
          <w:rFonts w:hint="eastAsia" w:ascii="宋体" w:hAnsi="宋体"/>
          <w:sz w:val="24"/>
        </w:rPr>
      </w:pPr>
      <w:r>
        <w:rPr>
          <w:rFonts w:hint="eastAsia" w:ascii="宋体" w:hAnsi="宋体"/>
          <w:sz w:val="24"/>
        </w:rPr>
        <w:t>长江财富-</w:t>
      </w:r>
      <w:r>
        <w:rPr>
          <w:rFonts w:hint="eastAsia" w:ascii="宋体" w:hAnsi="宋体"/>
          <w:sz w:val="24"/>
          <w:lang w:eastAsia="zh-CN"/>
        </w:rPr>
        <w:t>华夏幸福</w:t>
      </w:r>
      <w:r>
        <w:rPr>
          <w:rFonts w:hint="eastAsia" w:ascii="宋体" w:hAnsi="宋体"/>
          <w:sz w:val="24"/>
          <w:lang w:val="en-US" w:eastAsia="zh-CN"/>
        </w:rPr>
        <w:t>5</w:t>
      </w:r>
      <w:r>
        <w:rPr>
          <w:rFonts w:hint="eastAsia" w:ascii="宋体" w:hAnsi="宋体"/>
          <w:sz w:val="24"/>
        </w:rPr>
        <w:t>号专项资产管理计划（以下简称“本资产管理计划”）资产管理合同于2014年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29</w:t>
      </w:r>
      <w:r>
        <w:rPr>
          <w:rFonts w:hint="eastAsia" w:ascii="宋体" w:hAnsi="宋体"/>
          <w:sz w:val="24"/>
        </w:rPr>
        <w:t>日生效，投资起始日为2014年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29</w:t>
      </w:r>
      <w:r>
        <w:rPr>
          <w:rFonts w:hint="eastAsia" w:ascii="宋体" w:hAnsi="宋体"/>
          <w:sz w:val="24"/>
        </w:rPr>
        <w:t>日，存续期</w:t>
      </w:r>
      <w:r>
        <w:rPr>
          <w:rFonts w:hint="eastAsia" w:ascii="宋体" w:hAnsi="宋体"/>
          <w:sz w:val="24"/>
          <w:lang w:val="en-US" w:eastAsia="zh-CN"/>
        </w:rPr>
        <w:t>18</w:t>
      </w:r>
      <w:r>
        <w:rPr>
          <w:rFonts w:hint="eastAsia" w:ascii="宋体" w:hAnsi="宋体"/>
          <w:sz w:val="24"/>
        </w:rPr>
        <w:t>个月，于2015年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29</w:t>
      </w:r>
      <w:r>
        <w:rPr>
          <w:rFonts w:hint="eastAsia" w:ascii="宋体" w:hAnsi="宋体"/>
          <w:sz w:val="24"/>
        </w:rPr>
        <w:t>日</w:t>
      </w:r>
      <w:r>
        <w:rPr>
          <w:rFonts w:hint="eastAsia" w:ascii="宋体" w:hAnsi="宋体"/>
          <w:sz w:val="24"/>
          <w:lang w:eastAsia="zh-CN"/>
        </w:rPr>
        <w:t>到期</w:t>
      </w:r>
      <w:r>
        <w:rPr>
          <w:rFonts w:hint="eastAsia" w:ascii="宋体" w:hAnsi="宋体"/>
          <w:sz w:val="24"/>
        </w:rPr>
        <w:t>终止。本公司作为本资产管理计划的资产管理人，和资产托管人</w:t>
      </w:r>
      <w:r>
        <w:rPr>
          <w:rFonts w:hint="eastAsia" w:ascii="宋体" w:hAnsi="宋体"/>
          <w:sz w:val="24"/>
          <w:lang w:eastAsia="zh-CN"/>
        </w:rPr>
        <w:t>广发</w:t>
      </w:r>
      <w:r>
        <w:rPr>
          <w:rFonts w:hint="eastAsia" w:ascii="宋体" w:hAnsi="宋体"/>
          <w:sz w:val="24"/>
        </w:rPr>
        <w:t>银行股份有限公司组成清算小组，对到期资产进行清算。</w:t>
      </w:r>
    </w:p>
    <w:p>
      <w:pPr>
        <w:spacing w:line="360" w:lineRule="auto"/>
        <w:ind w:firstLine="480" w:firstLineChars="200"/>
        <w:rPr>
          <w:rFonts w:hint="eastAsia" w:ascii="宋体" w:hAnsi="宋体"/>
          <w:sz w:val="24"/>
        </w:rPr>
      </w:pPr>
      <w:r>
        <w:rPr>
          <w:rFonts w:hint="eastAsia" w:ascii="宋体" w:hAnsi="宋体"/>
          <w:sz w:val="24"/>
        </w:rPr>
        <w:t>本资产管理计划清算情况如下：</w:t>
      </w:r>
    </w:p>
    <w:p>
      <w:pPr>
        <w:spacing w:line="360" w:lineRule="auto"/>
        <w:ind w:firstLine="480" w:firstLineChars="200"/>
        <w:rPr>
          <w:rFonts w:hint="eastAsia" w:ascii="宋体" w:hAnsi="宋体"/>
          <w:sz w:val="24"/>
        </w:rPr>
      </w:pPr>
    </w:p>
    <w:p>
      <w:pPr>
        <w:numPr>
          <w:ilvl w:val="0"/>
          <w:numId w:val="1"/>
        </w:numPr>
        <w:spacing w:line="360" w:lineRule="auto"/>
        <w:ind w:left="482"/>
        <w:rPr>
          <w:rFonts w:hint="eastAsia"/>
          <w:b/>
          <w:sz w:val="24"/>
        </w:rPr>
      </w:pPr>
      <w:r>
        <w:rPr>
          <w:rFonts w:hint="eastAsia"/>
          <w:b/>
          <w:sz w:val="24"/>
        </w:rPr>
        <w:t>截至2015年</w:t>
      </w:r>
      <w:r>
        <w:rPr>
          <w:rFonts w:hint="eastAsia"/>
          <w:b/>
          <w:sz w:val="24"/>
          <w:lang w:val="en-US" w:eastAsia="zh-CN"/>
        </w:rPr>
        <w:t>11</w:t>
      </w:r>
      <w:r>
        <w:rPr>
          <w:rFonts w:hint="eastAsia"/>
          <w:b/>
          <w:sz w:val="24"/>
        </w:rPr>
        <w:t>月</w:t>
      </w:r>
      <w:r>
        <w:rPr>
          <w:rFonts w:hint="eastAsia"/>
          <w:b/>
          <w:sz w:val="24"/>
          <w:lang w:val="en-US" w:eastAsia="zh-CN"/>
        </w:rPr>
        <w:t>29</w:t>
      </w:r>
      <w:r>
        <w:rPr>
          <w:rFonts w:hint="eastAsia"/>
          <w:b/>
          <w:sz w:val="24"/>
        </w:rPr>
        <w:t>日（合同终止日）的资产负债明细</w:t>
      </w:r>
    </w:p>
    <w:p>
      <w:pPr>
        <w:spacing w:line="360" w:lineRule="auto"/>
        <w:ind w:left="482"/>
        <w:rPr>
          <w:rFonts w:hint="eastAsia"/>
          <w:b/>
          <w:sz w:val="24"/>
        </w:rPr>
      </w:pPr>
    </w:p>
    <w:p>
      <w:pPr>
        <w:tabs>
          <w:tab w:val="left" w:pos="6975"/>
        </w:tabs>
        <w:wordWrap w:val="0"/>
        <w:ind w:firstLine="5880" w:firstLineChars="2800"/>
        <w:jc w:val="right"/>
        <w:rPr>
          <w:rFonts w:hint="eastAsia"/>
          <w:szCs w:val="21"/>
        </w:rPr>
      </w:pPr>
      <w:r>
        <w:rPr>
          <w:rFonts w:hint="eastAsia"/>
          <w:szCs w:val="21"/>
        </w:rPr>
        <w:t xml:space="preserve">    单位：人民币元</w:t>
      </w:r>
    </w:p>
    <w:tbl>
      <w:tblPr>
        <w:tblStyle w:val="3"/>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9"/>
        <w:gridCol w:w="2040"/>
        <w:gridCol w:w="240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期末余额</w:t>
            </w:r>
          </w:p>
        </w:tc>
        <w:tc>
          <w:tcPr>
            <w:tcW w:w="240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2040" w:type="dxa"/>
            <w:tcBorders>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（2015年11月2</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日）</w:t>
            </w:r>
          </w:p>
        </w:tc>
        <w:tc>
          <w:tcPr>
            <w:tcW w:w="2400" w:type="dxa"/>
            <w:tcBorders>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（2015年11月2</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银行存款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40,020,856.73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长期负债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可供出售金融资产</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债权投资负债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衍生金融资产  </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股权投资负债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长期债权投资</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衍生金融资产负债</w:t>
            </w:r>
          </w:p>
        </w:tc>
        <w:tc>
          <w:tcPr>
            <w:tcW w:w="2100" w:type="dxa"/>
            <w:tcBorders>
              <w:bottom w:val="single" w:color="000000" w:sz="4" w:space="0"/>
              <w:right w:val="single" w:color="000000" w:sz="4" w:space="0"/>
            </w:tcBorders>
            <w:shd w:val="clear" w:color="auto" w:fill="auto"/>
            <w:textDirection w:val="lrTb"/>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其中：委托贷款</w:t>
            </w:r>
          </w:p>
        </w:tc>
        <w:tc>
          <w:tcPr>
            <w:tcW w:w="204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应付结构化融资服务费</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727,289.98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股票收益权转让及回购</w:t>
            </w:r>
          </w:p>
        </w:tc>
        <w:tc>
          <w:tcPr>
            <w:tcW w:w="204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应付销售服务费</w:t>
            </w:r>
          </w:p>
        </w:tc>
        <w:tc>
          <w:tcPr>
            <w:tcW w:w="210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应收利息</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679.82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其他负债</w:t>
            </w:r>
          </w:p>
        </w:tc>
        <w:tc>
          <w:tcPr>
            <w:tcW w:w="210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应收账款</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209,779,726.03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负债合计</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727,289.98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204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所有者权益：</w:t>
            </w:r>
          </w:p>
        </w:tc>
        <w:tc>
          <w:tcPr>
            <w:tcW w:w="2100"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实收资本</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未分配利润</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9,073,972.60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4"/>
                <w:szCs w:val="24"/>
                <w:u w:val="none"/>
              </w:rPr>
            </w:pPr>
          </w:p>
        </w:tc>
        <w:tc>
          <w:tcPr>
            <w:tcW w:w="2040" w:type="dxa"/>
            <w:tcBorders>
              <w:bottom w:val="single" w:color="000000" w:sz="4" w:space="0"/>
              <w:right w:val="single" w:color="000000" w:sz="4" w:space="0"/>
            </w:tcBorders>
            <w:shd w:val="clear" w:color="auto" w:fill="auto"/>
            <w:textDirection w:val="lrTb"/>
            <w:vAlign w:val="center"/>
          </w:tcPr>
          <w:p>
            <w:pPr>
              <w:jc w:val="both"/>
              <w:rPr>
                <w:rFonts w:hint="eastAsia" w:ascii="宋体" w:hAnsi="宋体" w:eastAsia="宋体" w:cs="宋体"/>
                <w:i w:val="0"/>
                <w:color w:val="000000"/>
                <w:sz w:val="24"/>
                <w:szCs w:val="24"/>
                <w:u w:val="none"/>
              </w:rPr>
            </w:pP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所有者权益合计</w:t>
            </w:r>
            <w:r>
              <w:rPr>
                <w:rFonts w:hint="eastAsia" w:ascii="宋体" w:hAnsi="宋体" w:eastAsia="宋体" w:cs="宋体"/>
                <w:b/>
                <w:i w:val="0"/>
                <w:color w:val="000000"/>
                <w:kern w:val="0"/>
                <w:sz w:val="22"/>
                <w:szCs w:val="22"/>
                <w:u w:val="none"/>
                <w:lang w:val="en-US" w:eastAsia="zh-CN" w:bidi="ar"/>
              </w:rPr>
              <w:t>：</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249,073,972.60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9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资产总计：</w:t>
            </w:r>
          </w:p>
        </w:tc>
        <w:tc>
          <w:tcPr>
            <w:tcW w:w="204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249,801,262.58 </w:t>
            </w:r>
          </w:p>
        </w:tc>
        <w:tc>
          <w:tcPr>
            <w:tcW w:w="2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负债和所有者权益总计：</w:t>
            </w:r>
          </w:p>
        </w:tc>
        <w:tc>
          <w:tcPr>
            <w:tcW w:w="2100"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249,801,262.58</w:t>
            </w:r>
          </w:p>
        </w:tc>
      </w:tr>
    </w:tbl>
    <w:p>
      <w:pPr>
        <w:tabs>
          <w:tab w:val="left" w:pos="6975"/>
        </w:tabs>
        <w:wordWrap/>
        <w:ind w:firstLine="5880" w:firstLineChars="2800"/>
        <w:jc w:val="right"/>
        <w:rPr>
          <w:rFonts w:hint="eastAsia"/>
          <w:szCs w:val="21"/>
        </w:rPr>
      </w:pPr>
    </w:p>
    <w:p>
      <w:pPr>
        <w:tabs>
          <w:tab w:val="left" w:pos="6975"/>
        </w:tabs>
        <w:wordWrap/>
        <w:ind w:firstLine="5880" w:firstLineChars="2800"/>
        <w:jc w:val="right"/>
        <w:rPr>
          <w:rFonts w:hint="eastAsia"/>
          <w:szCs w:val="21"/>
        </w:rPr>
      </w:pPr>
    </w:p>
    <w:p>
      <w:pPr>
        <w:spacing w:line="360" w:lineRule="auto"/>
        <w:rPr>
          <w:rFonts w:hint="eastAsia" w:ascii="宋体" w:hAnsi="宋体"/>
          <w:b/>
          <w:sz w:val="24"/>
        </w:rPr>
      </w:pPr>
    </w:p>
    <w:p>
      <w:pPr>
        <w:numPr>
          <w:ilvl w:val="0"/>
          <w:numId w:val="1"/>
        </w:numPr>
        <w:spacing w:line="360" w:lineRule="auto"/>
        <w:ind w:left="482" w:firstLine="482" w:firstLineChars="200"/>
        <w:rPr>
          <w:rFonts w:hint="eastAsia" w:ascii="宋体" w:hAnsi="宋体"/>
          <w:b/>
          <w:sz w:val="24"/>
        </w:rPr>
      </w:pPr>
      <w:r>
        <w:rPr>
          <w:rFonts w:hint="eastAsia" w:ascii="宋体" w:hAnsi="宋体"/>
          <w:b/>
          <w:sz w:val="24"/>
        </w:rPr>
        <w:t>截至2015年</w:t>
      </w:r>
      <w:r>
        <w:rPr>
          <w:rFonts w:hint="eastAsia" w:ascii="宋体" w:hAnsi="宋体"/>
          <w:b/>
          <w:sz w:val="24"/>
          <w:lang w:val="en-US" w:eastAsia="zh-CN"/>
        </w:rPr>
        <w:t>11</w:t>
      </w:r>
      <w:r>
        <w:rPr>
          <w:rFonts w:hint="eastAsia" w:ascii="宋体" w:hAnsi="宋体"/>
          <w:b/>
          <w:sz w:val="24"/>
        </w:rPr>
        <w:t>月</w:t>
      </w:r>
      <w:r>
        <w:rPr>
          <w:rFonts w:hint="eastAsia" w:ascii="宋体" w:hAnsi="宋体"/>
          <w:b/>
          <w:sz w:val="24"/>
          <w:lang w:val="en-US" w:eastAsia="zh-CN"/>
        </w:rPr>
        <w:t>16</w:t>
      </w:r>
      <w:r>
        <w:rPr>
          <w:rFonts w:hint="eastAsia" w:ascii="宋体" w:hAnsi="宋体"/>
          <w:b/>
          <w:sz w:val="24"/>
        </w:rPr>
        <w:t>日（合同终止日）的经营业绩表</w:t>
      </w:r>
    </w:p>
    <w:p>
      <w:pPr>
        <w:tabs>
          <w:tab w:val="left" w:pos="6975"/>
        </w:tabs>
        <w:rPr>
          <w:rFonts w:hint="eastAsia"/>
          <w:szCs w:val="21"/>
        </w:rPr>
      </w:pPr>
    </w:p>
    <w:p>
      <w:pPr>
        <w:tabs>
          <w:tab w:val="left" w:pos="6975"/>
        </w:tabs>
        <w:ind w:firstLine="5880" w:firstLineChars="2800"/>
        <w:jc w:val="center"/>
        <w:rPr>
          <w:rFonts w:hint="eastAsia"/>
          <w:szCs w:val="21"/>
        </w:rPr>
      </w:pPr>
      <w:r>
        <w:rPr>
          <w:rFonts w:hint="eastAsia"/>
          <w:szCs w:val="21"/>
        </w:rPr>
        <w:t xml:space="preserve">     单位：人民币</w:t>
      </w:r>
    </w:p>
    <w:tbl>
      <w:tblPr>
        <w:tblStyle w:val="3"/>
        <w:tblW w:w="81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35"/>
        <w:gridCol w:w="4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本合同期累计金额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（2014年5月29日至2015年11月29日）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一、收入</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32,951,262.58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1.利息收入</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21,536.55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2.投资收益（损失以“-”填列）</w:t>
            </w:r>
          </w:p>
        </w:tc>
        <w:tc>
          <w:tcPr>
            <w:tcW w:w="4094" w:type="dxa"/>
            <w:tcBorders>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32,929,726.03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其中：股权投资收益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债权投资收益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32,929,726.03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可供出售金融资产收益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资产支持证券投资收益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持有到期金融资产-应收账款</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衍生工具收益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股利收益</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3.公允价值变动收益（损失以“-”号填列）</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4.其他收入（损失以“-”号填列）</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二、费用</w:t>
            </w:r>
          </w:p>
        </w:tc>
        <w:tc>
          <w:tcPr>
            <w:tcW w:w="4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5,877,289.98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1、管理费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2、托管费</w:t>
            </w:r>
          </w:p>
        </w:tc>
        <w:tc>
          <w:tcPr>
            <w:tcW w:w="4094" w:type="dxa"/>
            <w:tcBorders>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3、客户服务费</w:t>
            </w:r>
          </w:p>
        </w:tc>
        <w:tc>
          <w:tcPr>
            <w:tcW w:w="4094" w:type="dxa"/>
            <w:tcBorders>
              <w:top w:val="single" w:color="000000" w:sz="4" w:space="0"/>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4、财务顾问费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5、结构化融资财务顾问费</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4,827,289.98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6、代销服务费</w:t>
            </w:r>
          </w:p>
        </w:tc>
        <w:tc>
          <w:tcPr>
            <w:tcW w:w="4094"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7、手续费</w:t>
            </w:r>
          </w:p>
        </w:tc>
        <w:tc>
          <w:tcPr>
            <w:tcW w:w="4094" w:type="dxa"/>
            <w:tcBorders>
              <w:bottom w:val="single" w:color="000000" w:sz="4" w:space="0"/>
              <w:right w:val="single" w:color="000000" w:sz="4" w:space="0"/>
            </w:tcBorders>
            <w:shd w:val="clear" w:color="auto" w:fill="auto"/>
            <w:textDirection w:val="lrTb"/>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三、利润总额</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27,073,972.60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其中：已分配利润</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未分配利润</w:t>
            </w:r>
          </w:p>
        </w:tc>
        <w:tc>
          <w:tcPr>
            <w:tcW w:w="4094" w:type="dxa"/>
            <w:tcBorders>
              <w:bottom w:val="single" w:color="000000" w:sz="4" w:space="0"/>
              <w:right w:val="single" w:color="000000" w:sz="4" w:space="0"/>
            </w:tcBorders>
            <w:shd w:val="clear" w:color="auto" w:fill="auto"/>
            <w:textDirection w:val="lrTb"/>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9,073,972.60</w:t>
            </w:r>
          </w:p>
        </w:tc>
      </w:tr>
    </w:tbl>
    <w:p>
      <w:pPr>
        <w:tabs>
          <w:tab w:val="left" w:pos="6975"/>
        </w:tabs>
        <w:ind w:firstLine="5880" w:firstLineChars="2800"/>
        <w:jc w:val="center"/>
        <w:rPr>
          <w:rFonts w:hint="eastAsia"/>
          <w:szCs w:val="21"/>
        </w:rPr>
      </w:pPr>
    </w:p>
    <w:p>
      <w:pPr>
        <w:tabs>
          <w:tab w:val="left" w:pos="6975"/>
        </w:tabs>
        <w:ind w:firstLine="5880" w:firstLineChars="2800"/>
        <w:jc w:val="center"/>
        <w:rPr>
          <w:rFonts w:hint="eastAsia"/>
          <w:szCs w:val="21"/>
        </w:rPr>
      </w:pPr>
    </w:p>
    <w:p>
      <w:pPr>
        <w:spacing w:line="360" w:lineRule="auto"/>
        <w:rPr>
          <w:rFonts w:hint="eastAsia"/>
          <w:b/>
          <w:sz w:val="24"/>
        </w:rPr>
      </w:pPr>
    </w:p>
    <w:p>
      <w:pPr>
        <w:spacing w:line="360" w:lineRule="auto"/>
        <w:ind w:firstLine="482" w:firstLineChars="200"/>
        <w:rPr>
          <w:rFonts w:hint="eastAsia"/>
          <w:b/>
          <w:sz w:val="24"/>
        </w:rPr>
      </w:pPr>
      <w:r>
        <w:rPr>
          <w:rFonts w:hint="eastAsia"/>
          <w:b/>
          <w:sz w:val="24"/>
        </w:rPr>
        <w:t>三、资产管理人业绩报酬</w:t>
      </w:r>
    </w:p>
    <w:p>
      <w:pPr>
        <w:tabs>
          <w:tab w:val="left" w:pos="525"/>
        </w:tabs>
        <w:spacing w:line="360" w:lineRule="auto"/>
        <w:ind w:firstLine="480" w:firstLineChars="200"/>
        <w:rPr>
          <w:rFonts w:hint="eastAsia" w:ascii="宋体" w:hAnsi="宋体"/>
          <w:sz w:val="24"/>
          <w:lang w:eastAsia="zh-CN"/>
        </w:rPr>
      </w:pPr>
      <w:r>
        <w:rPr>
          <w:rFonts w:hint="eastAsia" w:ascii="宋体" w:hAnsi="宋体"/>
          <w:sz w:val="24"/>
        </w:rPr>
        <w:t xml:space="preserve">    </w:t>
      </w:r>
      <w:r>
        <w:rPr>
          <w:rFonts w:hint="eastAsia" w:ascii="宋体" w:hAnsi="宋体"/>
          <w:sz w:val="24"/>
          <w:lang w:eastAsia="zh-CN"/>
        </w:rPr>
        <w:t>无</w:t>
      </w:r>
    </w:p>
    <w:p>
      <w:pPr>
        <w:tabs>
          <w:tab w:val="left" w:pos="525"/>
        </w:tabs>
        <w:spacing w:line="360" w:lineRule="auto"/>
        <w:ind w:firstLine="480" w:firstLineChars="200"/>
        <w:rPr>
          <w:rFonts w:hint="eastAsia" w:ascii="宋体" w:hAnsi="宋体"/>
          <w:sz w:val="24"/>
          <w:lang w:eastAsia="zh-CN"/>
        </w:rPr>
      </w:pPr>
    </w:p>
    <w:p>
      <w:pPr>
        <w:tabs>
          <w:tab w:val="left" w:pos="525"/>
        </w:tabs>
        <w:spacing w:line="360" w:lineRule="auto"/>
        <w:ind w:firstLine="480" w:firstLineChars="200"/>
        <w:rPr>
          <w:rFonts w:hint="eastAsia" w:ascii="宋体" w:hAnsi="宋体"/>
          <w:sz w:val="24"/>
          <w:lang w:eastAsia="zh-CN"/>
        </w:rPr>
      </w:pPr>
    </w:p>
    <w:p>
      <w:pPr>
        <w:tabs>
          <w:tab w:val="left" w:pos="525"/>
        </w:tabs>
        <w:spacing w:line="360" w:lineRule="auto"/>
        <w:ind w:firstLine="482" w:firstLineChars="200"/>
        <w:rPr>
          <w:rFonts w:hint="eastAsia" w:ascii="宋体" w:hAnsi="宋体"/>
          <w:b/>
          <w:sz w:val="24"/>
        </w:rPr>
      </w:pPr>
    </w:p>
    <w:p>
      <w:pPr>
        <w:tabs>
          <w:tab w:val="left" w:pos="525"/>
        </w:tabs>
        <w:spacing w:line="360" w:lineRule="auto"/>
        <w:ind w:firstLine="482" w:firstLineChars="200"/>
        <w:rPr>
          <w:rFonts w:hint="eastAsia" w:ascii="宋体" w:hAnsi="宋体"/>
          <w:b/>
          <w:sz w:val="24"/>
        </w:rPr>
      </w:pPr>
      <w:r>
        <w:rPr>
          <w:rFonts w:hint="eastAsia" w:ascii="宋体" w:hAnsi="宋体"/>
          <w:b/>
          <w:sz w:val="24"/>
        </w:rPr>
        <w:t>四、资产管理计划清算情况以及后续事项</w:t>
      </w:r>
    </w:p>
    <w:p>
      <w:pPr>
        <w:tabs>
          <w:tab w:val="left" w:pos="525"/>
        </w:tabs>
        <w:spacing w:line="360" w:lineRule="auto"/>
        <w:ind w:firstLine="480" w:firstLineChars="200"/>
        <w:rPr>
          <w:rFonts w:hint="eastAsia" w:ascii="宋体" w:hAnsi="宋体"/>
          <w:sz w:val="24"/>
        </w:rPr>
      </w:pPr>
      <w:r>
        <w:rPr>
          <w:rFonts w:hint="eastAsia" w:ascii="宋体" w:hAnsi="宋体"/>
          <w:sz w:val="24"/>
        </w:rPr>
        <w:t>1、根据本资产管理计划合同约定，自资产管理合同终止之日起，资产托管人和管理人组织成立清算小组。</w:t>
      </w:r>
    </w:p>
    <w:p>
      <w:pPr>
        <w:tabs>
          <w:tab w:val="left" w:pos="525"/>
        </w:tabs>
        <w:spacing w:line="360" w:lineRule="auto"/>
        <w:ind w:firstLine="480" w:firstLineChars="200"/>
        <w:rPr>
          <w:rFonts w:hint="eastAsia" w:ascii="宋体" w:hAnsi="宋体" w:eastAsia="宋体" w:cs="宋体"/>
          <w:sz w:val="24"/>
          <w:szCs w:val="24"/>
        </w:rPr>
      </w:pPr>
      <w:r>
        <w:rPr>
          <w:rFonts w:hint="eastAsia" w:ascii="宋体" w:hAnsi="宋体"/>
          <w:sz w:val="24"/>
        </w:rPr>
        <w:t>截至合</w:t>
      </w:r>
      <w:r>
        <w:rPr>
          <w:rFonts w:hint="eastAsia" w:ascii="宋体" w:hAnsi="宋体" w:eastAsia="宋体" w:cs="宋体"/>
          <w:sz w:val="24"/>
          <w:szCs w:val="24"/>
        </w:rPr>
        <w:t>同终止日2015年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日，在扣减各项费用后，本资产管理计划的所有者权益为</w:t>
      </w:r>
      <w:r>
        <w:rPr>
          <w:rFonts w:hint="eastAsia" w:ascii="宋体" w:hAnsi="宋体" w:eastAsia="宋体" w:cs="宋体"/>
          <w:i w:val="0"/>
          <w:color w:val="000000"/>
          <w:kern w:val="0"/>
          <w:sz w:val="24"/>
          <w:szCs w:val="24"/>
          <w:u w:val="none"/>
          <w:lang w:val="en-US" w:eastAsia="zh-CN" w:bidi="ar"/>
        </w:rPr>
        <w:t>249,073,972.60</w:t>
      </w:r>
      <w:r>
        <w:rPr>
          <w:rFonts w:hint="eastAsia" w:ascii="宋体" w:hAnsi="宋体" w:eastAsia="宋体" w:cs="宋体"/>
          <w:sz w:val="24"/>
          <w:szCs w:val="24"/>
        </w:rPr>
        <w:t>元。</w:t>
      </w:r>
    </w:p>
    <w:p>
      <w:pPr>
        <w:tabs>
          <w:tab w:val="left" w:pos="525"/>
        </w:tabs>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2、清算划款金额</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本资产管理计划的清算划款金额为</w:t>
      </w:r>
      <w:r>
        <w:rPr>
          <w:rFonts w:hint="eastAsia" w:ascii="宋体" w:hAnsi="宋体" w:eastAsia="宋体" w:cs="宋体"/>
          <w:i w:val="0"/>
          <w:color w:val="000000"/>
          <w:kern w:val="0"/>
          <w:sz w:val="24"/>
          <w:szCs w:val="24"/>
          <w:u w:val="none"/>
          <w:lang w:val="en-US" w:eastAsia="zh-CN" w:bidi="ar"/>
        </w:rPr>
        <w:t>249,073,972.60</w:t>
      </w:r>
      <w:r>
        <w:rPr>
          <w:rFonts w:hint="eastAsia" w:ascii="宋体" w:hAnsi="宋体" w:eastAsia="宋体" w:cs="宋体"/>
          <w:sz w:val="24"/>
          <w:szCs w:val="24"/>
        </w:rPr>
        <w:t>元</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p>
    <w:p>
      <w:pPr>
        <w:numPr>
          <w:ilvl w:val="0"/>
          <w:numId w:val="2"/>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资产管理计划清算剩余财产的分配</w:t>
      </w:r>
    </w:p>
    <w:p>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在支付完毕资产管理计划应承担的费用(除浮动结构化融资服务费外)，及分配完毕优先级份额的委托财产本金及预期投资收益和劣后级份额的委托财产本金，资产管理计划剩余财产作为浮动结构化融资服务费支付给广发银行股份有限公司北京分行。</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3、应收银行存款利息</w:t>
      </w:r>
    </w:p>
    <w:p>
      <w:pPr>
        <w:spacing w:line="360" w:lineRule="auto"/>
        <w:ind w:firstLine="420" w:firstLineChars="175"/>
        <w:rPr>
          <w:rFonts w:hint="eastAsia" w:ascii="宋体" w:hAnsi="宋体"/>
          <w:sz w:val="24"/>
        </w:rPr>
      </w:pPr>
      <w:r>
        <w:rPr>
          <w:rFonts w:hint="eastAsia" w:ascii="宋体" w:hAnsi="宋体"/>
          <w:sz w:val="24"/>
        </w:rPr>
        <w:t>由于本金收益清算交收完成后，托管户方能进入销户流程，并结得应收银行存款利息。本资产管理计划的资产管理合同终止日至划款日期间孳生的银行存款利息归</w:t>
      </w:r>
      <w:r>
        <w:rPr>
          <w:rFonts w:hint="eastAsia" w:ascii="宋体" w:hAnsi="宋体"/>
          <w:sz w:val="24"/>
          <w:lang w:eastAsia="zh-CN"/>
        </w:rPr>
        <w:t>提供结构化融资服务的机构（即广发银行股份有限公司北京分行）</w:t>
      </w:r>
      <w:r>
        <w:rPr>
          <w:rFonts w:hint="eastAsia" w:ascii="宋体" w:hAnsi="宋体"/>
          <w:sz w:val="24"/>
        </w:rPr>
        <w:t>所有</w:t>
      </w:r>
      <w:r>
        <w:rPr>
          <w:rFonts w:hint="eastAsia" w:ascii="宋体" w:hAnsi="宋体"/>
          <w:sz w:val="24"/>
          <w:lang w:eastAsia="zh-CN"/>
        </w:rPr>
        <w:t>，</w:t>
      </w:r>
      <w:r>
        <w:rPr>
          <w:rFonts w:hint="eastAsia" w:ascii="宋体" w:hAnsi="宋体"/>
          <w:sz w:val="24"/>
        </w:rPr>
        <w:t>应收银行存款利息与实际结算资金的尾差由</w:t>
      </w:r>
      <w:r>
        <w:rPr>
          <w:rFonts w:hint="eastAsia" w:ascii="宋体" w:hAnsi="宋体"/>
          <w:sz w:val="24"/>
          <w:lang w:eastAsia="zh-CN"/>
        </w:rPr>
        <w:t>其</w:t>
      </w:r>
      <w:r>
        <w:rPr>
          <w:rFonts w:hint="eastAsia" w:ascii="宋体" w:hAnsi="宋体"/>
          <w:sz w:val="24"/>
        </w:rPr>
        <w:t xml:space="preserve">承担。 </w:t>
      </w:r>
    </w:p>
    <w:p>
      <w:pPr>
        <w:spacing w:line="360" w:lineRule="auto"/>
        <w:ind w:firstLine="420" w:firstLineChars="175"/>
        <w:rPr>
          <w:rFonts w:hint="eastAsia" w:ascii="宋体" w:hAnsi="宋体"/>
          <w:sz w:val="24"/>
        </w:rPr>
      </w:pPr>
      <w:r>
        <w:rPr>
          <w:rFonts w:hint="eastAsia" w:ascii="宋体" w:hAnsi="宋体"/>
          <w:sz w:val="24"/>
        </w:rPr>
        <w:t xml:space="preserve">                                                                                  </w:t>
      </w:r>
    </w:p>
    <w:p>
      <w:pPr>
        <w:numPr>
          <w:ilvl w:val="0"/>
          <w:numId w:val="3"/>
        </w:numPr>
        <w:spacing w:line="360" w:lineRule="auto"/>
        <w:ind w:firstLine="480" w:firstLineChars="200"/>
        <w:rPr>
          <w:rFonts w:hint="eastAsia" w:ascii="宋体" w:hAnsi="宋体"/>
          <w:sz w:val="24"/>
          <w:lang w:eastAsia="zh-CN"/>
        </w:rPr>
      </w:pPr>
      <w:r>
        <w:rPr>
          <w:rFonts w:hint="eastAsia" w:ascii="宋体" w:hAnsi="宋体"/>
          <w:sz w:val="24"/>
          <w:lang w:eastAsia="zh-CN"/>
        </w:rPr>
        <w:t>资产委托人清算金额</w:t>
      </w:r>
    </w:p>
    <w:p>
      <w:pPr>
        <w:numPr>
          <w:ilvl w:val="0"/>
          <w:numId w:val="0"/>
        </w:numPr>
        <w:spacing w:line="360" w:lineRule="auto"/>
        <w:rPr>
          <w:rFonts w:hint="eastAsia" w:ascii="宋体" w:hAnsi="宋体"/>
          <w:sz w:val="24"/>
          <w:lang w:eastAsia="zh-CN"/>
        </w:rPr>
      </w:pPr>
      <w:r>
        <w:rPr>
          <w:rFonts w:hint="eastAsia" w:ascii="宋体" w:hAnsi="宋体"/>
          <w:sz w:val="24"/>
          <w:lang w:val="en-US" w:eastAsia="zh-CN"/>
        </w:rPr>
        <w:t xml:space="preserve">    (1)</w:t>
      </w:r>
      <w:r>
        <w:rPr>
          <w:rFonts w:hint="eastAsia" w:ascii="宋体" w:hAnsi="宋体"/>
          <w:sz w:val="24"/>
        </w:rPr>
        <w:t>单个</w:t>
      </w:r>
      <w:r>
        <w:rPr>
          <w:rFonts w:hint="eastAsia" w:ascii="宋体" w:hAnsi="宋体"/>
          <w:sz w:val="24"/>
          <w:lang w:eastAsia="zh-CN"/>
        </w:rPr>
        <w:t>优先级</w:t>
      </w:r>
      <w:r>
        <w:rPr>
          <w:rFonts w:hint="eastAsia" w:ascii="宋体" w:hAnsi="宋体"/>
          <w:sz w:val="24"/>
        </w:rPr>
        <w:t>委托人收到的清算金额=</w:t>
      </w:r>
      <w:r>
        <w:rPr>
          <w:rFonts w:hint="eastAsia" w:ascii="宋体" w:hAnsi="宋体"/>
          <w:sz w:val="24"/>
          <w:szCs w:val="24"/>
        </w:rPr>
        <w:t>委托金</w:t>
      </w:r>
      <w:r>
        <w:rPr>
          <w:rFonts w:hint="eastAsia" w:ascii="宋体" w:hAnsi="宋体"/>
          <w:sz w:val="24"/>
        </w:rPr>
        <w:t>额</w:t>
      </w:r>
      <w:r>
        <w:rPr>
          <w:rFonts w:hint="eastAsia" w:ascii="宋体" w:hAnsi="宋体"/>
          <w:sz w:val="24"/>
          <w:lang w:val="en-US" w:eastAsia="zh-CN"/>
        </w:rPr>
        <w:t>×</w:t>
      </w:r>
      <w:r>
        <w:rPr>
          <w:rFonts w:hint="eastAsia" w:ascii="宋体" w:hAnsi="宋体"/>
          <w:sz w:val="24"/>
          <w:lang w:eastAsia="zh-CN"/>
        </w:rPr>
        <w:t>（</w:t>
      </w:r>
      <w:r>
        <w:rPr>
          <w:rFonts w:hint="eastAsia" w:ascii="宋体" w:hAnsi="宋体"/>
          <w:sz w:val="24"/>
          <w:lang w:val="en-US" w:eastAsia="zh-CN"/>
        </w:rPr>
        <w:t>1+9%×当期天数</w:t>
      </w:r>
      <w:r>
        <w:rPr>
          <w:rFonts w:hint="eastAsia" w:ascii="宋体" w:hAnsi="宋体"/>
          <w:sz w:val="24"/>
        </w:rPr>
        <w:t>/36</w:t>
      </w:r>
      <w:r>
        <w:rPr>
          <w:rFonts w:hint="eastAsia" w:ascii="宋体" w:hAnsi="宋体"/>
          <w:sz w:val="24"/>
          <w:lang w:val="en-US" w:eastAsia="zh-CN"/>
        </w:rPr>
        <w:t>5</w:t>
      </w:r>
      <w:r>
        <w:rPr>
          <w:rFonts w:hint="eastAsia" w:ascii="宋体" w:hAnsi="宋体"/>
          <w:sz w:val="24"/>
          <w:lang w:eastAsia="zh-CN"/>
        </w:rPr>
        <w:t>）</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 xml:space="preserve">    (2)劣后级委托人收到的金额为以货币或股权等非货币方式支付的委托财产本金</w:t>
      </w:r>
    </w:p>
    <w:p>
      <w:pPr>
        <w:spacing w:line="360" w:lineRule="auto"/>
        <w:ind w:firstLine="480" w:firstLineChars="200"/>
        <w:rPr>
          <w:rFonts w:hint="eastAsia" w:ascii="宋体" w:hAnsi="宋体"/>
          <w:sz w:val="24"/>
        </w:rPr>
      </w:pPr>
      <w:r>
        <w:rPr>
          <w:rFonts w:hint="eastAsia" w:ascii="宋体" w:hAnsi="宋体"/>
          <w:sz w:val="24"/>
        </w:rPr>
        <w:t>(其中：</w:t>
      </w:r>
      <w:r>
        <w:rPr>
          <w:rFonts w:hint="eastAsia" w:ascii="宋体" w:hAnsi="宋体"/>
          <w:sz w:val="24"/>
          <w:lang w:val="en-US" w:eastAsia="zh-CN"/>
        </w:rPr>
        <w:t>当期</w:t>
      </w:r>
      <w:r>
        <w:rPr>
          <w:rFonts w:hint="eastAsia" w:ascii="宋体" w:hAnsi="宋体"/>
          <w:sz w:val="24"/>
        </w:rPr>
        <w:t>天数为自本资产管理计划前一个收益分配基准日（含）起至本计划终止日（不含）止的实际天数。）</w:t>
      </w:r>
    </w:p>
    <w:p>
      <w:pPr>
        <w:tabs>
          <w:tab w:val="left" w:pos="525"/>
        </w:tabs>
        <w:spacing w:line="360" w:lineRule="auto"/>
        <w:rPr>
          <w:rFonts w:hint="eastAsia" w:ascii="宋体" w:hAnsi="宋体"/>
          <w:b/>
          <w:sz w:val="24"/>
        </w:rPr>
      </w:pPr>
    </w:p>
    <w:p>
      <w:pPr>
        <w:tabs>
          <w:tab w:val="left" w:pos="525"/>
        </w:tabs>
        <w:spacing w:line="360" w:lineRule="auto"/>
        <w:ind w:firstLine="482" w:firstLineChars="200"/>
        <w:rPr>
          <w:rFonts w:hint="eastAsia" w:ascii="宋体" w:hAnsi="宋体"/>
          <w:b/>
          <w:sz w:val="24"/>
        </w:rPr>
      </w:pPr>
    </w:p>
    <w:p>
      <w:pPr>
        <w:tabs>
          <w:tab w:val="left" w:pos="525"/>
        </w:tabs>
        <w:spacing w:line="360" w:lineRule="auto"/>
        <w:ind w:firstLine="482" w:firstLineChars="200"/>
        <w:rPr>
          <w:rFonts w:hint="eastAsia" w:ascii="宋体" w:hAnsi="宋体"/>
          <w:b/>
          <w:sz w:val="24"/>
        </w:rPr>
      </w:pPr>
      <w:bookmarkStart w:id="0" w:name="_GoBack"/>
      <w:bookmarkEnd w:id="0"/>
      <w:r>
        <w:rPr>
          <w:rFonts w:hint="eastAsia" w:ascii="宋体" w:hAnsi="宋体"/>
          <w:b/>
          <w:sz w:val="24"/>
        </w:rPr>
        <w:t>五、其他需要说明的事项</w:t>
      </w:r>
    </w:p>
    <w:p>
      <w:pPr>
        <w:spacing w:line="360" w:lineRule="auto"/>
        <w:ind w:firstLine="480" w:firstLineChars="200"/>
        <w:rPr>
          <w:rFonts w:hint="eastAsia" w:ascii="宋体" w:hAnsi="宋体"/>
          <w:sz w:val="24"/>
        </w:rPr>
      </w:pPr>
      <w:r>
        <w:rPr>
          <w:rFonts w:hint="eastAsia" w:ascii="宋体" w:hAnsi="宋体"/>
          <w:sz w:val="24"/>
        </w:rPr>
        <w:t>1、本资产管理计划清算小组成员由管理人和托管人组成，本报告经托管人复核，并以合同约定的方式告知委托人。</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2、本资产管理计划全部清算完毕后，资产托管人负责托管账户的销户工作，销户过程资产管理人、资产委托人应给以必要的配合。</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3、本资产管理计划应收资金和应付资金全部结清、账户销户后，资产管理人、资产托管人职责终止。</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sz w:val="24"/>
        </w:rPr>
      </w:pPr>
      <w:r>
        <w:rPr>
          <w:rFonts w:hint="eastAsia" w:ascii="宋体" w:hAnsi="宋体"/>
          <w:sz w:val="24"/>
        </w:rPr>
        <w:t>特此报告。</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资产托管人：</w:t>
      </w:r>
      <w:r>
        <w:rPr>
          <w:rFonts w:hint="eastAsia"/>
          <w:sz w:val="24"/>
          <w:lang w:eastAsia="zh-CN"/>
        </w:rPr>
        <w:t>广发</w:t>
      </w:r>
      <w:r>
        <w:rPr>
          <w:rFonts w:hint="eastAsia"/>
          <w:sz w:val="24"/>
        </w:rPr>
        <w:t xml:space="preserve">银行股份有限公司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资产管理人：上海长江财富资产管理有限公司</w:t>
      </w:r>
    </w:p>
    <w:p>
      <w:pPr>
        <w:rPr>
          <w:sz w:val="24"/>
        </w:rPr>
      </w:pPr>
    </w:p>
    <w:p>
      <w:pPr>
        <w:rPr>
          <w:rFonts w:hint="eastAsia"/>
          <w:sz w:val="24"/>
        </w:rPr>
      </w:pPr>
      <w:r>
        <w:rPr>
          <w:rFonts w:hint="eastAsia"/>
          <w:sz w:val="24"/>
        </w:rPr>
        <w:t xml:space="preserve">  </w:t>
      </w:r>
    </w:p>
    <w:p>
      <w:pPr>
        <w:rPr>
          <w:rFonts w:hint="eastAsia"/>
          <w:sz w:val="24"/>
        </w:rPr>
      </w:pPr>
      <w:r>
        <w:rPr>
          <w:rFonts w:hint="eastAsia"/>
          <w:sz w:val="24"/>
        </w:rPr>
        <w:t xml:space="preserve">    </w:t>
      </w:r>
    </w:p>
    <w:p>
      <w:pPr>
        <w:jc w:val="right"/>
      </w:pPr>
      <w:r>
        <w:rPr>
          <w:rFonts w:hint="eastAsia"/>
          <w:sz w:val="24"/>
        </w:rPr>
        <w:t xml:space="preserve">                                                 2015年</w:t>
      </w:r>
      <w:r>
        <w:rPr>
          <w:rFonts w:hint="eastAsia"/>
          <w:sz w:val="24"/>
          <w:lang w:val="en-US" w:eastAsia="zh-CN"/>
        </w:rPr>
        <w:t>11</w:t>
      </w:r>
      <w:r>
        <w:rPr>
          <w:rFonts w:hint="eastAsia"/>
          <w:sz w:val="24"/>
        </w:rPr>
        <w:t>月</w:t>
      </w:r>
      <w:r>
        <w:rPr>
          <w:rFonts w:hint="eastAsia"/>
          <w:sz w:val="24"/>
          <w:lang w:val="en-US" w:eastAsia="zh-CN"/>
        </w:rPr>
        <w:t>29</w:t>
      </w:r>
      <w:r>
        <w:rPr>
          <w:rFonts w:hint="eastAsia"/>
          <w:sz w:val="24"/>
        </w:rPr>
        <w:t xml:space="preserve">日                                               </w:t>
      </w:r>
    </w:p>
    <w:p>
      <w:pPr/>
    </w:p>
    <w:p>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Arial Unicode MS">
    <w:panose1 w:val="020B0604020202020204"/>
    <w:charset w:val="86"/>
    <w:family w:val="modern"/>
    <w:pitch w:val="default"/>
    <w:sig w:usb0="FFFFFFFF" w:usb1="E9FFFFFF" w:usb2="0000003F" w:usb3="00000000" w:csb0="603F01FF" w:csb1="FFFF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Unicode MS">
    <w:panose1 w:val="020B0604020202020204"/>
    <w:charset w:val="86"/>
    <w:family w:val="decorative"/>
    <w:pitch w:val="default"/>
    <w:sig w:usb0="FFFFFFFF" w:usb1="E9FFFFFF" w:usb2="0000003F" w:usb3="00000000" w:csb0="603F01FF" w:csb1="FFFF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8979863">
    <w:nsid w:val="5493EA17"/>
    <w:multiLevelType w:val="singleLevel"/>
    <w:tmpl w:val="5493EA17"/>
    <w:lvl w:ilvl="0" w:tentative="1">
      <w:start w:val="1"/>
      <w:numFmt w:val="chineseCounting"/>
      <w:suff w:val="nothing"/>
      <w:lvlText w:val="%1、"/>
      <w:lvlJc w:val="left"/>
    </w:lvl>
  </w:abstractNum>
  <w:abstractNum w:abstractNumId="1448256239">
    <w:nsid w:val="5652A2EF"/>
    <w:multiLevelType w:val="singleLevel"/>
    <w:tmpl w:val="5652A2EF"/>
    <w:lvl w:ilvl="0" w:tentative="1">
      <w:start w:val="3"/>
      <w:numFmt w:val="decimal"/>
      <w:suff w:val="nothing"/>
      <w:lvlText w:val="%1."/>
      <w:lvlJc w:val="left"/>
    </w:lvl>
  </w:abstractNum>
  <w:abstractNum w:abstractNumId="1448256636">
    <w:nsid w:val="5652A47C"/>
    <w:multiLevelType w:val="singleLevel"/>
    <w:tmpl w:val="5652A47C"/>
    <w:lvl w:ilvl="0" w:tentative="1">
      <w:start w:val="4"/>
      <w:numFmt w:val="decimal"/>
      <w:suff w:val="nothing"/>
      <w:lvlText w:val="%1、"/>
      <w:lvlJc w:val="left"/>
    </w:lvl>
  </w:abstractNum>
  <w:num w:numId="1">
    <w:abstractNumId w:val="1418979863"/>
  </w:num>
  <w:num w:numId="2">
    <w:abstractNumId w:val="1448256239"/>
  </w:num>
  <w:num w:numId="3">
    <w:abstractNumId w:val="14482566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70654"/>
    <w:rsid w:val="08236132"/>
    <w:rsid w:val="49375FAE"/>
    <w:rsid w:val="4EF211BD"/>
    <w:rsid w:val="6A6706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2015-12-08T08:43:00Z</dcterms:created>
  <dc:creator>RJ</dc:creator>
  <cp:lastModifiedBy>RJ</cp:lastModifiedBy>
  <dcterms:modified xsi:type="dcterms:W3CDTF">2015-12-09T02:28:55Z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